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89C" w:rsidRPr="009039D2" w:rsidRDefault="00BE089C" w:rsidP="00CE715B">
      <w:pPr>
        <w:pStyle w:val="TableParagraph"/>
        <w:ind w:left="0"/>
        <w:jc w:val="center"/>
        <w:rPr>
          <w:b/>
          <w:sz w:val="24"/>
        </w:rPr>
      </w:pPr>
    </w:p>
    <w:tbl>
      <w:tblPr>
        <w:tblW w:w="10435" w:type="dxa"/>
        <w:tblInd w:w="250" w:type="dxa"/>
        <w:tblLook w:val="04A0" w:firstRow="1" w:lastRow="0" w:firstColumn="1" w:lastColumn="0" w:noHBand="0" w:noVBand="1"/>
      </w:tblPr>
      <w:tblGrid>
        <w:gridCol w:w="4111"/>
        <w:gridCol w:w="6324"/>
      </w:tblGrid>
      <w:tr w:rsidR="00BE089C" w:rsidRPr="009039D2" w:rsidTr="00820B31">
        <w:tc>
          <w:tcPr>
            <w:tcW w:w="4111" w:type="dxa"/>
            <w:shd w:val="clear" w:color="auto" w:fill="auto"/>
          </w:tcPr>
          <w:p w:rsidR="00BE089C" w:rsidRPr="009039D2" w:rsidRDefault="00BE089C" w:rsidP="00820B31">
            <w:pPr>
              <w:pStyle w:val="TableParagraph"/>
              <w:ind w:left="0" w:right="-12"/>
              <w:rPr>
                <w:sz w:val="24"/>
              </w:rPr>
            </w:pPr>
            <w:r>
              <w:rPr>
                <w:noProof/>
                <w:sz w:val="24"/>
                <w:lang w:val="ru-RU" w:eastAsia="ru-RU"/>
              </w:rPr>
              <w:drawing>
                <wp:inline distT="0" distB="0" distL="0" distR="0">
                  <wp:extent cx="1905000" cy="1737360"/>
                  <wp:effectExtent l="19050" t="0" r="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pic:cNvPicPr>
                            <a:picLocks noChangeAspect="1" noChangeArrowheads="1"/>
                          </pic:cNvPicPr>
                        </pic:nvPicPr>
                        <pic:blipFill>
                          <a:blip r:embed="rId5" cstate="print"/>
                          <a:srcRect/>
                          <a:stretch>
                            <a:fillRect/>
                          </a:stretch>
                        </pic:blipFill>
                        <pic:spPr bwMode="auto">
                          <a:xfrm>
                            <a:off x="0" y="0"/>
                            <a:ext cx="1905000" cy="1737360"/>
                          </a:xfrm>
                          <a:prstGeom prst="rect">
                            <a:avLst/>
                          </a:prstGeom>
                          <a:noFill/>
                          <a:ln w="9525">
                            <a:noFill/>
                            <a:miter lim="800000"/>
                            <a:headEnd/>
                            <a:tailEnd/>
                          </a:ln>
                        </pic:spPr>
                      </pic:pic>
                    </a:graphicData>
                  </a:graphic>
                </wp:inline>
              </w:drawing>
            </w:r>
          </w:p>
        </w:tc>
        <w:tc>
          <w:tcPr>
            <w:tcW w:w="6324" w:type="dxa"/>
            <w:shd w:val="clear" w:color="auto" w:fill="auto"/>
            <w:vAlign w:val="center"/>
          </w:tcPr>
          <w:p w:rsidR="00BE089C" w:rsidRPr="009039D2" w:rsidRDefault="00BE089C" w:rsidP="00820B31">
            <w:pPr>
              <w:pStyle w:val="TableParagraph"/>
              <w:ind w:left="0" w:right="-21"/>
              <w:rPr>
                <w:b/>
                <w:sz w:val="24"/>
              </w:rPr>
            </w:pPr>
            <w:r w:rsidRPr="009039D2">
              <w:rPr>
                <w:b/>
                <w:sz w:val="24"/>
              </w:rPr>
              <w:t>СИЛАБУС НАВЧАЛЬНОЇ ДИСЦИПЛІНИ</w:t>
            </w:r>
          </w:p>
          <w:p w:rsidR="00BE089C" w:rsidRPr="0086787A" w:rsidRDefault="00BE089C" w:rsidP="00820B31">
            <w:pPr>
              <w:pStyle w:val="TableParagraph"/>
              <w:ind w:left="0" w:right="-21"/>
              <w:rPr>
                <w:b/>
                <w:sz w:val="40"/>
                <w:szCs w:val="40"/>
              </w:rPr>
            </w:pPr>
            <w:r w:rsidRPr="0086787A">
              <w:rPr>
                <w:b/>
                <w:caps/>
                <w:sz w:val="40"/>
                <w:szCs w:val="40"/>
              </w:rPr>
              <w:t>Домедична допомога</w:t>
            </w:r>
          </w:p>
        </w:tc>
      </w:tr>
    </w:tbl>
    <w:p w:rsidR="007D0E44" w:rsidRPr="008F62BD" w:rsidRDefault="007D0E44" w:rsidP="007D0E44">
      <w:pPr>
        <w:pStyle w:val="Default"/>
        <w:jc w:val="both"/>
      </w:pPr>
    </w:p>
    <w:p w:rsidR="007D0E44" w:rsidRPr="00136969" w:rsidRDefault="007D0E44" w:rsidP="007D0E44">
      <w:pPr>
        <w:pStyle w:val="Default"/>
        <w:ind w:left="142" w:right="92"/>
        <w:jc w:val="both"/>
      </w:pPr>
      <w:r w:rsidRPr="008F62BD">
        <w:t xml:space="preserve"> </w:t>
      </w:r>
      <w:proofErr w:type="spellStart"/>
      <w:r w:rsidRPr="007D0E44">
        <w:rPr>
          <w:b/>
          <w:bCs/>
        </w:rPr>
        <w:t>Освітньо</w:t>
      </w:r>
      <w:r w:rsidRPr="00136969">
        <w:rPr>
          <w:b/>
          <w:bCs/>
        </w:rPr>
        <w:t>-</w:t>
      </w:r>
      <w:r w:rsidRPr="007D0E44">
        <w:rPr>
          <w:b/>
          <w:bCs/>
        </w:rPr>
        <w:t>професійна</w:t>
      </w:r>
      <w:proofErr w:type="spellEnd"/>
      <w:r w:rsidRPr="00136969">
        <w:rPr>
          <w:b/>
          <w:bCs/>
        </w:rPr>
        <w:t xml:space="preserve"> </w:t>
      </w:r>
      <w:proofErr w:type="spellStart"/>
      <w:r w:rsidRPr="007D0E44">
        <w:rPr>
          <w:b/>
          <w:bCs/>
        </w:rPr>
        <w:t>програма</w:t>
      </w:r>
      <w:proofErr w:type="spellEnd"/>
      <w:r w:rsidRPr="00136969">
        <w:rPr>
          <w:b/>
          <w:bCs/>
        </w:rPr>
        <w:t xml:space="preserve">: </w:t>
      </w:r>
      <w:r w:rsidRPr="007D0E44">
        <w:t>Дизайн</w:t>
      </w:r>
      <w:r w:rsidRPr="00136969">
        <w:t xml:space="preserve">, </w:t>
      </w:r>
      <w:r w:rsidRPr="007D0E44">
        <w:t>Менеджмент</w:t>
      </w:r>
      <w:r w:rsidRPr="00136969">
        <w:t xml:space="preserve">, </w:t>
      </w:r>
      <w:proofErr w:type="spellStart"/>
      <w:r w:rsidRPr="007D0E44">
        <w:t>Технології</w:t>
      </w:r>
      <w:proofErr w:type="spellEnd"/>
      <w:r w:rsidRPr="00136969">
        <w:t xml:space="preserve"> </w:t>
      </w:r>
      <w:proofErr w:type="spellStart"/>
      <w:r w:rsidRPr="007D0E44">
        <w:t>легкої</w:t>
      </w:r>
      <w:proofErr w:type="spellEnd"/>
      <w:r w:rsidRPr="00136969">
        <w:t xml:space="preserve"> </w:t>
      </w:r>
      <w:proofErr w:type="spellStart"/>
      <w:r w:rsidRPr="007D0E44">
        <w:t>промисловості</w:t>
      </w:r>
      <w:proofErr w:type="spellEnd"/>
      <w:r w:rsidRPr="00136969">
        <w:t xml:space="preserve">, </w:t>
      </w:r>
      <w:proofErr w:type="spellStart"/>
      <w:r w:rsidRPr="007D0E44">
        <w:t>Автомобільний</w:t>
      </w:r>
      <w:proofErr w:type="spellEnd"/>
      <w:r w:rsidRPr="00136969">
        <w:t xml:space="preserve"> </w:t>
      </w:r>
      <w:r w:rsidRPr="007D0E44">
        <w:t>транспорт</w:t>
      </w:r>
      <w:r w:rsidRPr="00136969">
        <w:t xml:space="preserve">, </w:t>
      </w:r>
      <w:proofErr w:type="spellStart"/>
      <w:r w:rsidRPr="007D0E44">
        <w:t>Електроенергетика</w:t>
      </w:r>
      <w:proofErr w:type="spellEnd"/>
      <w:r w:rsidRPr="00136969">
        <w:t xml:space="preserve">, </w:t>
      </w:r>
      <w:proofErr w:type="spellStart"/>
      <w:r w:rsidRPr="007D0E44">
        <w:t>електротехніка</w:t>
      </w:r>
      <w:proofErr w:type="spellEnd"/>
      <w:r w:rsidRPr="00136969">
        <w:t xml:space="preserve"> </w:t>
      </w:r>
      <w:r w:rsidRPr="007D0E44">
        <w:t>та</w:t>
      </w:r>
      <w:r w:rsidRPr="00136969">
        <w:t xml:space="preserve"> </w:t>
      </w:r>
      <w:proofErr w:type="spellStart"/>
      <w:proofErr w:type="gramStart"/>
      <w:r w:rsidRPr="007D0E44">
        <w:t>електромеханіка</w:t>
      </w:r>
      <w:proofErr w:type="spellEnd"/>
      <w:r w:rsidRPr="00136969">
        <w:t xml:space="preserve"> ,</w:t>
      </w:r>
      <w:proofErr w:type="gramEnd"/>
      <w:r w:rsidRPr="00136969">
        <w:t xml:space="preserve"> </w:t>
      </w:r>
      <w:proofErr w:type="spellStart"/>
      <w:r w:rsidRPr="007D0E44">
        <w:t>Комп</w:t>
      </w:r>
      <w:r w:rsidRPr="00136969">
        <w:t>’</w:t>
      </w:r>
      <w:r w:rsidRPr="007D0E44">
        <w:t>ютерна</w:t>
      </w:r>
      <w:proofErr w:type="spellEnd"/>
      <w:r w:rsidRPr="00136969">
        <w:t xml:space="preserve"> </w:t>
      </w:r>
      <w:proofErr w:type="spellStart"/>
      <w:r w:rsidRPr="007D0E44">
        <w:t>інженерія</w:t>
      </w:r>
      <w:proofErr w:type="spellEnd"/>
      <w:r w:rsidRPr="00136969">
        <w:t xml:space="preserve">, </w:t>
      </w:r>
      <w:proofErr w:type="spellStart"/>
      <w:r w:rsidRPr="007D0E44">
        <w:t>Інформаційні</w:t>
      </w:r>
      <w:proofErr w:type="spellEnd"/>
      <w:r w:rsidRPr="00136969">
        <w:t xml:space="preserve"> </w:t>
      </w:r>
      <w:proofErr w:type="spellStart"/>
      <w:r w:rsidRPr="007D0E44">
        <w:t>системи</w:t>
      </w:r>
      <w:proofErr w:type="spellEnd"/>
      <w:r w:rsidRPr="00136969">
        <w:t xml:space="preserve"> </w:t>
      </w:r>
      <w:r w:rsidRPr="007D0E44">
        <w:t>та</w:t>
      </w:r>
      <w:r w:rsidRPr="00136969">
        <w:t xml:space="preserve"> </w:t>
      </w:r>
      <w:proofErr w:type="spellStart"/>
      <w:r w:rsidRPr="007D0E44">
        <w:t>технології</w:t>
      </w:r>
      <w:proofErr w:type="spellEnd"/>
      <w:r w:rsidRPr="00136969">
        <w:t xml:space="preserve"> </w:t>
      </w:r>
    </w:p>
    <w:p w:rsidR="007D0E44" w:rsidRPr="00136969" w:rsidRDefault="007D0E44" w:rsidP="007D0E44">
      <w:pPr>
        <w:pStyle w:val="Default"/>
        <w:ind w:left="142" w:right="92"/>
        <w:jc w:val="both"/>
      </w:pPr>
      <w:proofErr w:type="spellStart"/>
      <w:r w:rsidRPr="007D0E44">
        <w:rPr>
          <w:b/>
          <w:bCs/>
        </w:rPr>
        <w:t>Спеціальність</w:t>
      </w:r>
      <w:proofErr w:type="spellEnd"/>
      <w:r w:rsidRPr="00136969">
        <w:rPr>
          <w:b/>
          <w:bCs/>
        </w:rPr>
        <w:t xml:space="preserve">: </w:t>
      </w:r>
      <w:r w:rsidRPr="00136969">
        <w:t xml:space="preserve">022 </w:t>
      </w:r>
      <w:r w:rsidRPr="007D0E44">
        <w:t>Дизайн</w:t>
      </w:r>
      <w:r w:rsidRPr="00136969">
        <w:t xml:space="preserve">, 073 </w:t>
      </w:r>
      <w:r w:rsidRPr="007D0E44">
        <w:t>Менеджмент</w:t>
      </w:r>
      <w:r w:rsidRPr="00136969">
        <w:t xml:space="preserve">, 182 </w:t>
      </w:r>
      <w:proofErr w:type="spellStart"/>
      <w:r w:rsidRPr="007D0E44">
        <w:t>Технології</w:t>
      </w:r>
      <w:proofErr w:type="spellEnd"/>
      <w:r w:rsidRPr="00136969">
        <w:t xml:space="preserve"> </w:t>
      </w:r>
      <w:proofErr w:type="spellStart"/>
      <w:r w:rsidRPr="007D0E44">
        <w:t>легкої</w:t>
      </w:r>
      <w:proofErr w:type="spellEnd"/>
      <w:r w:rsidRPr="00136969">
        <w:t xml:space="preserve"> </w:t>
      </w:r>
      <w:proofErr w:type="spellStart"/>
      <w:proofErr w:type="gramStart"/>
      <w:r w:rsidRPr="007D0E44">
        <w:t>промисловості</w:t>
      </w:r>
      <w:proofErr w:type="spellEnd"/>
      <w:r w:rsidRPr="00136969">
        <w:t xml:space="preserve">,   </w:t>
      </w:r>
      <w:proofErr w:type="gramEnd"/>
      <w:r w:rsidRPr="00136969">
        <w:t xml:space="preserve">                  274 </w:t>
      </w:r>
      <w:proofErr w:type="spellStart"/>
      <w:r w:rsidRPr="007D0E44">
        <w:t>Автомобільний</w:t>
      </w:r>
      <w:proofErr w:type="spellEnd"/>
      <w:r w:rsidRPr="00136969">
        <w:t xml:space="preserve"> </w:t>
      </w:r>
      <w:r w:rsidRPr="007D0E44">
        <w:t>транспорт</w:t>
      </w:r>
      <w:r w:rsidRPr="00136969">
        <w:t xml:space="preserve">, 141 </w:t>
      </w:r>
      <w:proofErr w:type="spellStart"/>
      <w:r w:rsidRPr="007D0E44">
        <w:t>Електроенергетика</w:t>
      </w:r>
      <w:proofErr w:type="spellEnd"/>
      <w:r w:rsidRPr="00136969">
        <w:t xml:space="preserve">, </w:t>
      </w:r>
      <w:proofErr w:type="spellStart"/>
      <w:r w:rsidRPr="007D0E44">
        <w:t>електротехніка</w:t>
      </w:r>
      <w:proofErr w:type="spellEnd"/>
      <w:r w:rsidRPr="00136969">
        <w:t xml:space="preserve"> </w:t>
      </w:r>
      <w:r w:rsidRPr="007D0E44">
        <w:t>та</w:t>
      </w:r>
      <w:r w:rsidRPr="00136969">
        <w:t xml:space="preserve"> </w:t>
      </w:r>
      <w:proofErr w:type="spellStart"/>
      <w:r w:rsidRPr="007D0E44">
        <w:t>електромеханіка</w:t>
      </w:r>
      <w:proofErr w:type="spellEnd"/>
      <w:r w:rsidRPr="00136969">
        <w:t xml:space="preserve">,          123 </w:t>
      </w:r>
      <w:proofErr w:type="spellStart"/>
      <w:r w:rsidRPr="007D0E44">
        <w:t>Комп</w:t>
      </w:r>
      <w:r w:rsidRPr="00136969">
        <w:t>’</w:t>
      </w:r>
      <w:r w:rsidRPr="007D0E44">
        <w:t>ютерна</w:t>
      </w:r>
      <w:proofErr w:type="spellEnd"/>
      <w:r w:rsidRPr="00136969">
        <w:t xml:space="preserve"> </w:t>
      </w:r>
      <w:proofErr w:type="spellStart"/>
      <w:r w:rsidRPr="007D0E44">
        <w:t>інженерія</w:t>
      </w:r>
      <w:proofErr w:type="spellEnd"/>
      <w:r w:rsidRPr="00136969">
        <w:t xml:space="preserve">, 126 </w:t>
      </w:r>
      <w:proofErr w:type="spellStart"/>
      <w:r w:rsidRPr="007D0E44">
        <w:t>Інформаційні</w:t>
      </w:r>
      <w:proofErr w:type="spellEnd"/>
      <w:r w:rsidRPr="00136969">
        <w:t xml:space="preserve"> </w:t>
      </w:r>
      <w:proofErr w:type="spellStart"/>
      <w:r w:rsidRPr="007D0E44">
        <w:t>системи</w:t>
      </w:r>
      <w:proofErr w:type="spellEnd"/>
      <w:r w:rsidRPr="00136969">
        <w:t xml:space="preserve"> </w:t>
      </w:r>
      <w:r w:rsidRPr="007D0E44">
        <w:t>та</w:t>
      </w:r>
      <w:r w:rsidRPr="00136969">
        <w:t xml:space="preserve"> </w:t>
      </w:r>
      <w:proofErr w:type="spellStart"/>
      <w:r w:rsidRPr="007D0E44">
        <w:t>технології</w:t>
      </w:r>
      <w:proofErr w:type="spellEnd"/>
      <w:r w:rsidRPr="00136969">
        <w:t xml:space="preserve"> </w:t>
      </w:r>
    </w:p>
    <w:p w:rsidR="00D31ED2" w:rsidRPr="00136969" w:rsidRDefault="007D0E44" w:rsidP="007D0E44">
      <w:pPr>
        <w:pStyle w:val="TableParagraph"/>
        <w:ind w:left="142" w:right="92"/>
        <w:jc w:val="both"/>
        <w:rPr>
          <w:sz w:val="24"/>
          <w:szCs w:val="24"/>
          <w:lang w:val="ru-RU"/>
        </w:rPr>
      </w:pPr>
      <w:r w:rsidRPr="007D0E44">
        <w:rPr>
          <w:b/>
          <w:bCs/>
          <w:sz w:val="24"/>
          <w:szCs w:val="24"/>
        </w:rPr>
        <w:t xml:space="preserve">Галузь знань: </w:t>
      </w:r>
      <w:r w:rsidRPr="007D0E44">
        <w:rPr>
          <w:sz w:val="24"/>
          <w:szCs w:val="24"/>
        </w:rPr>
        <w:t>02 Культура і мистецтво, 07 Управління та адміністрування, 18 Виробництво і технології, 27 Транспорт, 14 Електрична інженерія, 12 Інформаційні технології</w:t>
      </w:r>
    </w:p>
    <w:p w:rsidR="007D0E44" w:rsidRPr="00136969" w:rsidRDefault="007D0E44" w:rsidP="007D0E44">
      <w:pPr>
        <w:pStyle w:val="TableParagraph"/>
        <w:ind w:left="0"/>
        <w:jc w:val="both"/>
        <w:rPr>
          <w:sz w:val="24"/>
          <w:szCs w:val="24"/>
          <w:lang w:val="ru-RU"/>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5"/>
        <w:gridCol w:w="7299"/>
      </w:tblGrid>
      <w:tr w:rsidR="00BE089C" w:rsidRPr="009039D2" w:rsidTr="00820B31">
        <w:trPr>
          <w:trHeight w:val="550"/>
        </w:trPr>
        <w:tc>
          <w:tcPr>
            <w:tcW w:w="2905" w:type="dxa"/>
            <w:shd w:val="clear" w:color="auto" w:fill="D9D9D9"/>
          </w:tcPr>
          <w:p w:rsidR="00BE089C" w:rsidRPr="009039D2" w:rsidRDefault="00BE089C" w:rsidP="00820B31">
            <w:pPr>
              <w:pStyle w:val="TableParagraph"/>
              <w:ind w:left="76"/>
              <w:rPr>
                <w:b/>
                <w:sz w:val="24"/>
              </w:rPr>
            </w:pPr>
            <w:r w:rsidRPr="009039D2">
              <w:rPr>
                <w:b/>
                <w:sz w:val="24"/>
              </w:rPr>
              <w:t>Рівень освіти</w:t>
            </w:r>
          </w:p>
        </w:tc>
        <w:tc>
          <w:tcPr>
            <w:tcW w:w="7299" w:type="dxa"/>
            <w:shd w:val="clear" w:color="auto" w:fill="auto"/>
          </w:tcPr>
          <w:p w:rsidR="00BE089C" w:rsidRPr="009039D2" w:rsidRDefault="00BE089C" w:rsidP="00820B31">
            <w:pPr>
              <w:pStyle w:val="TableParagraph"/>
              <w:rPr>
                <w:sz w:val="24"/>
              </w:rPr>
            </w:pPr>
            <w:r w:rsidRPr="009039D2">
              <w:rPr>
                <w:sz w:val="24"/>
              </w:rPr>
              <w:t xml:space="preserve">Фахова </w:t>
            </w:r>
            <w:proofErr w:type="spellStart"/>
            <w:r w:rsidRPr="009039D2">
              <w:rPr>
                <w:sz w:val="24"/>
              </w:rPr>
              <w:t>передвища</w:t>
            </w:r>
            <w:proofErr w:type="spellEnd"/>
            <w:r w:rsidRPr="009039D2">
              <w:rPr>
                <w:sz w:val="24"/>
              </w:rPr>
              <w:t xml:space="preserve"> освіта</w:t>
            </w:r>
          </w:p>
        </w:tc>
      </w:tr>
      <w:tr w:rsidR="00BE089C" w:rsidRPr="009039D2" w:rsidTr="00820B31">
        <w:trPr>
          <w:trHeight w:val="604"/>
        </w:trPr>
        <w:tc>
          <w:tcPr>
            <w:tcW w:w="2905" w:type="dxa"/>
            <w:shd w:val="clear" w:color="auto" w:fill="D9D9D9"/>
          </w:tcPr>
          <w:p w:rsidR="00BE089C" w:rsidRPr="009039D2" w:rsidRDefault="00BE089C" w:rsidP="00820B31">
            <w:pPr>
              <w:pStyle w:val="TableParagraph"/>
              <w:spacing w:line="280" w:lineRule="atLeast"/>
              <w:ind w:left="76"/>
              <w:rPr>
                <w:b/>
                <w:sz w:val="24"/>
              </w:rPr>
            </w:pPr>
            <w:r w:rsidRPr="009039D2">
              <w:rPr>
                <w:b/>
                <w:sz w:val="24"/>
              </w:rPr>
              <w:t>Освітньо-професійний /освітній ступінь</w:t>
            </w:r>
          </w:p>
        </w:tc>
        <w:tc>
          <w:tcPr>
            <w:tcW w:w="7299" w:type="dxa"/>
            <w:shd w:val="clear" w:color="auto" w:fill="auto"/>
          </w:tcPr>
          <w:p w:rsidR="00BE089C" w:rsidRPr="009039D2" w:rsidRDefault="00BE089C" w:rsidP="00820B31">
            <w:pPr>
              <w:pStyle w:val="TableParagraph"/>
              <w:rPr>
                <w:sz w:val="24"/>
              </w:rPr>
            </w:pPr>
            <w:r w:rsidRPr="009039D2">
              <w:rPr>
                <w:sz w:val="24"/>
              </w:rPr>
              <w:t>Фаховий молодший бакалавр</w:t>
            </w:r>
          </w:p>
        </w:tc>
      </w:tr>
      <w:tr w:rsidR="00BE089C" w:rsidRPr="009039D2" w:rsidTr="00820B31">
        <w:trPr>
          <w:trHeight w:val="609"/>
        </w:trPr>
        <w:tc>
          <w:tcPr>
            <w:tcW w:w="2905" w:type="dxa"/>
            <w:shd w:val="clear" w:color="auto" w:fill="D9D9D9"/>
          </w:tcPr>
          <w:p w:rsidR="00BE089C" w:rsidRPr="009039D2" w:rsidRDefault="00BE089C" w:rsidP="00820B31">
            <w:pPr>
              <w:pStyle w:val="TableParagraph"/>
              <w:spacing w:line="274" w:lineRule="exact"/>
              <w:ind w:left="76"/>
              <w:rPr>
                <w:b/>
                <w:sz w:val="24"/>
              </w:rPr>
            </w:pPr>
            <w:r w:rsidRPr="009039D2">
              <w:rPr>
                <w:b/>
                <w:sz w:val="24"/>
              </w:rPr>
              <w:t xml:space="preserve">Статус навчальної </w:t>
            </w:r>
          </w:p>
          <w:p w:rsidR="00BE089C" w:rsidRPr="009039D2" w:rsidRDefault="00BE089C" w:rsidP="00820B31">
            <w:pPr>
              <w:pStyle w:val="TableParagraph"/>
              <w:spacing w:line="274" w:lineRule="exact"/>
              <w:ind w:left="76"/>
              <w:rPr>
                <w:b/>
                <w:sz w:val="24"/>
              </w:rPr>
            </w:pPr>
            <w:r w:rsidRPr="009039D2">
              <w:rPr>
                <w:b/>
                <w:sz w:val="24"/>
              </w:rPr>
              <w:t>дисципліни</w:t>
            </w:r>
          </w:p>
        </w:tc>
        <w:tc>
          <w:tcPr>
            <w:tcW w:w="7299" w:type="dxa"/>
            <w:shd w:val="clear" w:color="auto" w:fill="auto"/>
          </w:tcPr>
          <w:p w:rsidR="00BE089C" w:rsidRPr="009039D2" w:rsidRDefault="007D0E44" w:rsidP="00820B31">
            <w:pPr>
              <w:pStyle w:val="TableParagraph"/>
              <w:rPr>
                <w:sz w:val="24"/>
              </w:rPr>
            </w:pPr>
            <w:r>
              <w:rPr>
                <w:sz w:val="24"/>
              </w:rPr>
              <w:t>Вибіркова (</w:t>
            </w:r>
            <w:r w:rsidR="00BE089C" w:rsidRPr="009039D2">
              <w:rPr>
                <w:sz w:val="24"/>
              </w:rPr>
              <w:t>загальної підготовки)</w:t>
            </w:r>
          </w:p>
        </w:tc>
      </w:tr>
      <w:tr w:rsidR="00BE089C" w:rsidRPr="009039D2" w:rsidTr="00820B31">
        <w:trPr>
          <w:trHeight w:val="888"/>
        </w:trPr>
        <w:tc>
          <w:tcPr>
            <w:tcW w:w="2905" w:type="dxa"/>
            <w:shd w:val="clear" w:color="auto" w:fill="D9D9D9"/>
          </w:tcPr>
          <w:p w:rsidR="00BE089C" w:rsidRPr="009039D2" w:rsidRDefault="00BE089C" w:rsidP="00820B31">
            <w:pPr>
              <w:pStyle w:val="TableParagraph"/>
              <w:spacing w:line="237" w:lineRule="auto"/>
              <w:ind w:left="76"/>
              <w:rPr>
                <w:b/>
                <w:sz w:val="24"/>
              </w:rPr>
            </w:pPr>
            <w:r w:rsidRPr="009039D2">
              <w:rPr>
                <w:b/>
                <w:sz w:val="24"/>
              </w:rPr>
              <w:t xml:space="preserve">Обсяг дисципліни </w:t>
            </w:r>
          </w:p>
          <w:p w:rsidR="00BE089C" w:rsidRPr="009039D2" w:rsidRDefault="00BE089C" w:rsidP="00820B31">
            <w:pPr>
              <w:pStyle w:val="TableParagraph"/>
              <w:spacing w:line="237" w:lineRule="auto"/>
              <w:ind w:left="76"/>
              <w:rPr>
                <w:b/>
                <w:sz w:val="24"/>
              </w:rPr>
            </w:pPr>
            <w:r w:rsidRPr="009039D2">
              <w:rPr>
                <w:b/>
                <w:sz w:val="24"/>
              </w:rPr>
              <w:t>(кредити ЄКТС/ загальна</w:t>
            </w:r>
          </w:p>
          <w:p w:rsidR="00BE089C" w:rsidRPr="009039D2" w:rsidRDefault="00BE089C" w:rsidP="00820B31">
            <w:pPr>
              <w:pStyle w:val="TableParagraph"/>
              <w:spacing w:line="261" w:lineRule="exact"/>
              <w:ind w:left="76"/>
              <w:rPr>
                <w:rFonts w:ascii="Calibri" w:hAnsi="Calibri"/>
              </w:rPr>
            </w:pPr>
            <w:r w:rsidRPr="009039D2">
              <w:rPr>
                <w:b/>
                <w:sz w:val="24"/>
              </w:rPr>
              <w:t>кількість годин</w:t>
            </w:r>
            <w:r w:rsidRPr="009039D2">
              <w:rPr>
                <w:rFonts w:ascii="Calibri" w:hAnsi="Calibri"/>
              </w:rPr>
              <w:t>)</w:t>
            </w:r>
          </w:p>
        </w:tc>
        <w:tc>
          <w:tcPr>
            <w:tcW w:w="7299" w:type="dxa"/>
            <w:shd w:val="clear" w:color="auto" w:fill="auto"/>
          </w:tcPr>
          <w:p w:rsidR="00BE089C" w:rsidRPr="009039D2" w:rsidRDefault="00A6367F" w:rsidP="00820B31">
            <w:pPr>
              <w:pStyle w:val="TableParagraph"/>
              <w:rPr>
                <w:sz w:val="24"/>
              </w:rPr>
            </w:pPr>
            <w:r>
              <w:rPr>
                <w:sz w:val="24"/>
              </w:rPr>
              <w:t>4</w:t>
            </w:r>
            <w:r w:rsidR="00BE089C" w:rsidRPr="009039D2">
              <w:rPr>
                <w:sz w:val="24"/>
              </w:rPr>
              <w:t xml:space="preserve"> кредити </w:t>
            </w:r>
            <w:r w:rsidR="00BE089C">
              <w:rPr>
                <w:sz w:val="24"/>
              </w:rPr>
              <w:t>ЄКТС/ 12</w:t>
            </w:r>
            <w:r w:rsidR="00BE089C" w:rsidRPr="009039D2">
              <w:rPr>
                <w:sz w:val="24"/>
              </w:rPr>
              <w:t>0 годин</w:t>
            </w:r>
          </w:p>
        </w:tc>
      </w:tr>
      <w:tr w:rsidR="00BE089C" w:rsidRPr="009039D2" w:rsidTr="00820B31">
        <w:trPr>
          <w:trHeight w:val="369"/>
        </w:trPr>
        <w:tc>
          <w:tcPr>
            <w:tcW w:w="2905" w:type="dxa"/>
            <w:shd w:val="clear" w:color="auto" w:fill="D9D9D9"/>
          </w:tcPr>
          <w:p w:rsidR="00BE089C" w:rsidRPr="009039D2" w:rsidRDefault="00BE089C" w:rsidP="00820B31">
            <w:pPr>
              <w:pStyle w:val="TableParagraph"/>
              <w:spacing w:line="242" w:lineRule="auto"/>
              <w:ind w:left="76"/>
              <w:rPr>
                <w:b/>
                <w:sz w:val="24"/>
              </w:rPr>
            </w:pPr>
            <w:r w:rsidRPr="009039D2">
              <w:rPr>
                <w:b/>
                <w:sz w:val="24"/>
              </w:rPr>
              <w:t>Циклова комісія</w:t>
            </w:r>
          </w:p>
        </w:tc>
        <w:tc>
          <w:tcPr>
            <w:tcW w:w="7299" w:type="dxa"/>
            <w:shd w:val="clear" w:color="auto" w:fill="auto"/>
          </w:tcPr>
          <w:p w:rsidR="00BE089C" w:rsidRPr="009039D2" w:rsidRDefault="00BE089C" w:rsidP="00820B31">
            <w:pPr>
              <w:pStyle w:val="TableParagraph"/>
              <w:ind w:left="0"/>
              <w:rPr>
                <w:sz w:val="24"/>
              </w:rPr>
            </w:pPr>
            <w:r w:rsidRPr="009039D2">
              <w:rPr>
                <w:sz w:val="24"/>
              </w:rPr>
              <w:t xml:space="preserve"> Природничо-математичних дисциплін</w:t>
            </w:r>
          </w:p>
        </w:tc>
      </w:tr>
      <w:tr w:rsidR="00BE089C" w:rsidRPr="009039D2" w:rsidTr="00820B31">
        <w:trPr>
          <w:trHeight w:val="369"/>
        </w:trPr>
        <w:tc>
          <w:tcPr>
            <w:tcW w:w="2905" w:type="dxa"/>
            <w:shd w:val="clear" w:color="auto" w:fill="D9D9D9"/>
          </w:tcPr>
          <w:p w:rsidR="00BE089C" w:rsidRPr="009039D2" w:rsidRDefault="00BE089C" w:rsidP="00820B31">
            <w:pPr>
              <w:pStyle w:val="TableParagraph"/>
              <w:ind w:left="76"/>
              <w:rPr>
                <w:b/>
                <w:sz w:val="24"/>
              </w:rPr>
            </w:pPr>
            <w:r w:rsidRPr="009039D2">
              <w:rPr>
                <w:b/>
                <w:sz w:val="24"/>
              </w:rPr>
              <w:t>Мова викладання</w:t>
            </w:r>
          </w:p>
        </w:tc>
        <w:tc>
          <w:tcPr>
            <w:tcW w:w="7299" w:type="dxa"/>
            <w:shd w:val="clear" w:color="auto" w:fill="auto"/>
          </w:tcPr>
          <w:p w:rsidR="00BE089C" w:rsidRPr="009039D2" w:rsidRDefault="00BE089C" w:rsidP="00820B31">
            <w:pPr>
              <w:pStyle w:val="TableParagraph"/>
              <w:rPr>
                <w:sz w:val="24"/>
              </w:rPr>
            </w:pPr>
            <w:r w:rsidRPr="009039D2">
              <w:rPr>
                <w:sz w:val="24"/>
              </w:rPr>
              <w:t>Українська</w:t>
            </w:r>
          </w:p>
        </w:tc>
      </w:tr>
      <w:tr w:rsidR="00BE089C" w:rsidRPr="009039D2" w:rsidTr="00820B31">
        <w:trPr>
          <w:trHeight w:val="1436"/>
        </w:trPr>
        <w:tc>
          <w:tcPr>
            <w:tcW w:w="2905" w:type="dxa"/>
            <w:shd w:val="clear" w:color="auto" w:fill="D9D9D9"/>
          </w:tcPr>
          <w:p w:rsidR="00BE089C" w:rsidRPr="009039D2" w:rsidRDefault="00BE089C" w:rsidP="00820B31">
            <w:pPr>
              <w:pStyle w:val="TableParagraph"/>
              <w:spacing w:line="242" w:lineRule="auto"/>
              <w:ind w:left="76"/>
              <w:rPr>
                <w:b/>
                <w:sz w:val="24"/>
              </w:rPr>
            </w:pPr>
            <w:r w:rsidRPr="009039D2">
              <w:rPr>
                <w:b/>
                <w:sz w:val="24"/>
              </w:rPr>
              <w:t xml:space="preserve">Мета навчальної </w:t>
            </w:r>
          </w:p>
          <w:p w:rsidR="00BE089C" w:rsidRPr="009039D2" w:rsidRDefault="00BE089C" w:rsidP="00820B31">
            <w:pPr>
              <w:pStyle w:val="TableParagraph"/>
              <w:spacing w:line="242" w:lineRule="auto"/>
              <w:ind w:left="76"/>
              <w:rPr>
                <w:b/>
                <w:sz w:val="24"/>
              </w:rPr>
            </w:pPr>
            <w:r w:rsidRPr="009039D2">
              <w:rPr>
                <w:b/>
                <w:sz w:val="24"/>
              </w:rPr>
              <w:t>дисципліни</w:t>
            </w:r>
          </w:p>
        </w:tc>
        <w:tc>
          <w:tcPr>
            <w:tcW w:w="7299" w:type="dxa"/>
            <w:shd w:val="clear" w:color="auto" w:fill="auto"/>
          </w:tcPr>
          <w:p w:rsidR="00BE089C" w:rsidRPr="009039D2" w:rsidRDefault="008F62BD" w:rsidP="008F62BD">
            <w:pPr>
              <w:pStyle w:val="a5"/>
              <w:spacing w:before="0" w:beforeAutospacing="0" w:after="0" w:afterAutospacing="0"/>
              <w:jc w:val="both"/>
            </w:pPr>
            <w:r w:rsidRPr="008F62BD">
              <w:rPr>
                <w:b/>
              </w:rPr>
              <w:t>Метою вивчення</w:t>
            </w:r>
            <w:r w:rsidRPr="008F62BD">
              <w:t xml:space="preserve"> дисципліни «</w:t>
            </w:r>
            <w:proofErr w:type="spellStart"/>
            <w:r w:rsidRPr="008F62BD">
              <w:t>Домедична</w:t>
            </w:r>
            <w:proofErr w:type="spellEnd"/>
            <w:r w:rsidRPr="008F62BD">
              <w:t xml:space="preserve"> допомога» є формування у студентів знань щодо основних принципів і правил надання </w:t>
            </w:r>
            <w:proofErr w:type="spellStart"/>
            <w:r w:rsidRPr="008F62BD">
              <w:t>домедичної</w:t>
            </w:r>
            <w:proofErr w:type="spellEnd"/>
            <w:r w:rsidRPr="008F62BD">
              <w:t xml:space="preserve"> допомоги потерпілим від нещасних випадків і хворим із гострими захворюваннями; навчити швидко орієнтуватись у складних ситуаціях нещасних випадків, правильно визначати вид і характер ушкоджень, захворювань, вибирати спосіб надання </w:t>
            </w:r>
            <w:proofErr w:type="spellStart"/>
            <w:r w:rsidRPr="008F62BD">
              <w:t>домедичної</w:t>
            </w:r>
            <w:proofErr w:type="spellEnd"/>
            <w:r w:rsidRPr="008F62BD">
              <w:t xml:space="preserve"> допомоги при невідкладних станах та кваліфіковано здійснити її. </w:t>
            </w:r>
          </w:p>
        </w:tc>
      </w:tr>
      <w:tr w:rsidR="00BE089C" w:rsidRPr="009039D2" w:rsidTr="00820B31">
        <w:trPr>
          <w:trHeight w:val="1553"/>
        </w:trPr>
        <w:tc>
          <w:tcPr>
            <w:tcW w:w="2905" w:type="dxa"/>
            <w:shd w:val="clear" w:color="auto" w:fill="D9D9D9"/>
          </w:tcPr>
          <w:p w:rsidR="00BE089C" w:rsidRPr="009039D2" w:rsidRDefault="00BE089C" w:rsidP="00820B31">
            <w:pPr>
              <w:pStyle w:val="TableParagraph"/>
              <w:spacing w:line="242" w:lineRule="auto"/>
              <w:ind w:left="76"/>
              <w:rPr>
                <w:b/>
                <w:sz w:val="24"/>
              </w:rPr>
            </w:pPr>
            <w:r w:rsidRPr="009039D2">
              <w:rPr>
                <w:b/>
                <w:sz w:val="24"/>
              </w:rPr>
              <w:t xml:space="preserve">Предмет і завдання </w:t>
            </w:r>
          </w:p>
          <w:p w:rsidR="00BE089C" w:rsidRPr="009039D2" w:rsidRDefault="00BE089C" w:rsidP="00820B31">
            <w:pPr>
              <w:pStyle w:val="TableParagraph"/>
              <w:spacing w:line="242" w:lineRule="auto"/>
              <w:ind w:left="76"/>
              <w:rPr>
                <w:b/>
                <w:sz w:val="24"/>
              </w:rPr>
            </w:pPr>
            <w:r w:rsidRPr="009039D2">
              <w:rPr>
                <w:b/>
                <w:sz w:val="24"/>
              </w:rPr>
              <w:t>дисципліни</w:t>
            </w:r>
          </w:p>
        </w:tc>
        <w:tc>
          <w:tcPr>
            <w:tcW w:w="7299" w:type="dxa"/>
            <w:shd w:val="clear" w:color="auto" w:fill="auto"/>
          </w:tcPr>
          <w:p w:rsidR="00BE089C" w:rsidRPr="009039D2" w:rsidRDefault="00BE089C" w:rsidP="007D0E44">
            <w:pPr>
              <w:tabs>
                <w:tab w:val="left" w:pos="508"/>
              </w:tabs>
              <w:ind w:left="113" w:right="113"/>
              <w:jc w:val="both"/>
              <w:rPr>
                <w:sz w:val="24"/>
                <w:szCs w:val="24"/>
              </w:rPr>
            </w:pPr>
            <w:r w:rsidRPr="009039D2">
              <w:rPr>
                <w:b/>
                <w:sz w:val="24"/>
                <w:szCs w:val="24"/>
              </w:rPr>
              <w:t>Предметом</w:t>
            </w:r>
            <w:r w:rsidRPr="009039D2">
              <w:rPr>
                <w:sz w:val="24"/>
                <w:szCs w:val="24"/>
              </w:rPr>
              <w:t xml:space="preserve"> </w:t>
            </w:r>
            <w:r w:rsidRPr="00E16132">
              <w:rPr>
                <w:sz w:val="24"/>
                <w:szCs w:val="24"/>
              </w:rPr>
              <w:t>вивчення навчальної дисципліни «</w:t>
            </w:r>
            <w:proofErr w:type="spellStart"/>
            <w:r w:rsidRPr="00E16132">
              <w:rPr>
                <w:sz w:val="24"/>
                <w:szCs w:val="24"/>
              </w:rPr>
              <w:t>Домедична</w:t>
            </w:r>
            <w:proofErr w:type="spellEnd"/>
            <w:r w:rsidRPr="00E16132">
              <w:rPr>
                <w:sz w:val="24"/>
                <w:szCs w:val="24"/>
              </w:rPr>
              <w:t xml:space="preserve"> </w:t>
            </w:r>
            <w:r w:rsidR="00A6367F">
              <w:rPr>
                <w:sz w:val="24"/>
                <w:szCs w:val="24"/>
              </w:rPr>
              <w:t>допомога</w:t>
            </w:r>
            <w:r w:rsidRPr="00E16132">
              <w:rPr>
                <w:sz w:val="24"/>
                <w:szCs w:val="24"/>
              </w:rPr>
              <w:t>» є організація та методика проведення комплексу термінових заходів, спрямованих на припинення дії фактора (джерела) ураження, усунення явищ, що загрожують життю, полегшення страждань і підготовку потерпілого для відправлення до лікувально-профілактичного закладу, що вживаються в разі нещасних випадків і раптових захворювань.</w:t>
            </w:r>
          </w:p>
          <w:p w:rsidR="00BE089C" w:rsidRPr="009039D2" w:rsidRDefault="00BE089C" w:rsidP="007D0E44">
            <w:pPr>
              <w:pStyle w:val="a3"/>
              <w:tabs>
                <w:tab w:val="left" w:pos="508"/>
              </w:tabs>
              <w:ind w:left="113" w:right="113"/>
              <w:jc w:val="both"/>
              <w:rPr>
                <w:sz w:val="24"/>
              </w:rPr>
            </w:pPr>
            <w:r w:rsidRPr="009039D2">
              <w:rPr>
                <w:b/>
                <w:sz w:val="24"/>
                <w:szCs w:val="24"/>
              </w:rPr>
              <w:t xml:space="preserve">Основними завданнями </w:t>
            </w:r>
            <w:r w:rsidRPr="009039D2">
              <w:rPr>
                <w:bCs/>
                <w:sz w:val="24"/>
                <w:szCs w:val="24"/>
              </w:rPr>
              <w:t xml:space="preserve">вивчення дисципліни </w:t>
            </w:r>
            <w:r>
              <w:rPr>
                <w:bCs/>
                <w:sz w:val="24"/>
                <w:szCs w:val="24"/>
              </w:rPr>
              <w:t>«</w:t>
            </w:r>
            <w:proofErr w:type="spellStart"/>
            <w:r>
              <w:rPr>
                <w:bCs/>
                <w:sz w:val="24"/>
                <w:szCs w:val="24"/>
              </w:rPr>
              <w:t>Домедична</w:t>
            </w:r>
            <w:proofErr w:type="spellEnd"/>
            <w:r>
              <w:rPr>
                <w:bCs/>
                <w:sz w:val="24"/>
                <w:szCs w:val="24"/>
              </w:rPr>
              <w:t xml:space="preserve"> допомога» є:</w:t>
            </w:r>
          </w:p>
          <w:p w:rsidR="00BE089C" w:rsidRPr="000E36F8" w:rsidRDefault="00BE089C" w:rsidP="007D0E44">
            <w:pPr>
              <w:pStyle w:val="a3"/>
              <w:tabs>
                <w:tab w:val="left" w:pos="366"/>
              </w:tabs>
              <w:ind w:left="113" w:right="113"/>
              <w:jc w:val="both"/>
              <w:rPr>
                <w:sz w:val="24"/>
              </w:rPr>
            </w:pPr>
            <w:r>
              <w:rPr>
                <w:sz w:val="24"/>
              </w:rPr>
              <w:t xml:space="preserve"> </w:t>
            </w:r>
            <w:r w:rsidRPr="000E36F8">
              <w:rPr>
                <w:sz w:val="24"/>
              </w:rPr>
              <w:t>–</w:t>
            </w:r>
            <w:r>
              <w:rPr>
                <w:sz w:val="24"/>
              </w:rPr>
              <w:t xml:space="preserve"> </w:t>
            </w:r>
            <w:r w:rsidRPr="000E36F8">
              <w:rPr>
                <w:sz w:val="24"/>
              </w:rPr>
              <w:t>виховання у студентів культури здоров’я як частини загальнолюдської культури;</w:t>
            </w:r>
          </w:p>
          <w:p w:rsidR="00A6367F" w:rsidRDefault="00A6367F" w:rsidP="007D0E44">
            <w:pPr>
              <w:pStyle w:val="a3"/>
              <w:tabs>
                <w:tab w:val="left" w:pos="366"/>
              </w:tabs>
              <w:ind w:left="113" w:right="113"/>
              <w:jc w:val="both"/>
              <w:rPr>
                <w:sz w:val="24"/>
              </w:rPr>
            </w:pPr>
            <w:r w:rsidRPr="00A6367F">
              <w:rPr>
                <w:sz w:val="24"/>
              </w:rPr>
              <w:t>– оволодіння знаннями про основи асептики і антисептики;</w:t>
            </w:r>
          </w:p>
          <w:p w:rsidR="00BE089C" w:rsidRPr="000E36F8" w:rsidRDefault="00BE089C" w:rsidP="007D0E44">
            <w:pPr>
              <w:pStyle w:val="a3"/>
              <w:tabs>
                <w:tab w:val="left" w:pos="366"/>
              </w:tabs>
              <w:ind w:left="113" w:right="113"/>
              <w:jc w:val="both"/>
              <w:rPr>
                <w:sz w:val="24"/>
              </w:rPr>
            </w:pPr>
            <w:r w:rsidRPr="000E36F8">
              <w:rPr>
                <w:sz w:val="24"/>
              </w:rPr>
              <w:t>–</w:t>
            </w:r>
            <w:r w:rsidR="008F62BD">
              <w:rPr>
                <w:sz w:val="24"/>
                <w:lang w:val="ru-RU"/>
              </w:rPr>
              <w:t xml:space="preserve"> </w:t>
            </w:r>
            <w:r w:rsidRPr="000E36F8">
              <w:rPr>
                <w:sz w:val="24"/>
              </w:rPr>
              <w:t>оволодіння знаннями, вміннями та навичками щодо забезпечення повного та своєчасного</w:t>
            </w:r>
            <w:r>
              <w:rPr>
                <w:sz w:val="24"/>
              </w:rPr>
              <w:t xml:space="preserve"> </w:t>
            </w:r>
            <w:r w:rsidRPr="000E36F8">
              <w:rPr>
                <w:sz w:val="24"/>
              </w:rPr>
              <w:t>проведення серцево-легеневої реанімації, зупинки кровотечі;</w:t>
            </w:r>
          </w:p>
          <w:p w:rsidR="00BE089C" w:rsidRPr="000E36F8" w:rsidRDefault="00BE089C" w:rsidP="007D0E44">
            <w:pPr>
              <w:pStyle w:val="a3"/>
              <w:tabs>
                <w:tab w:val="left" w:pos="366"/>
              </w:tabs>
              <w:ind w:left="113" w:right="113"/>
              <w:jc w:val="both"/>
              <w:rPr>
                <w:sz w:val="24"/>
              </w:rPr>
            </w:pPr>
            <w:r w:rsidRPr="000E36F8">
              <w:rPr>
                <w:sz w:val="24"/>
              </w:rPr>
              <w:t>– оволодіння навичками</w:t>
            </w:r>
            <w:r w:rsidR="00136969">
              <w:rPr>
                <w:sz w:val="24"/>
                <w:lang w:val="ru-RU"/>
              </w:rPr>
              <w:t xml:space="preserve"> щодо</w:t>
            </w:r>
            <w:bookmarkStart w:id="0" w:name="_GoBack"/>
            <w:bookmarkEnd w:id="0"/>
            <w:r w:rsidRPr="000E36F8">
              <w:rPr>
                <w:sz w:val="24"/>
              </w:rPr>
              <w:t xml:space="preserve"> накладання пов'язок постраждалим із </w:t>
            </w:r>
            <w:r w:rsidRPr="000E36F8">
              <w:rPr>
                <w:sz w:val="24"/>
              </w:rPr>
              <w:lastRenderedPageBreak/>
              <w:t>метою збереження їм життя;</w:t>
            </w:r>
          </w:p>
          <w:p w:rsidR="00BE089C" w:rsidRPr="000E36F8" w:rsidRDefault="00BE089C" w:rsidP="007D0E44">
            <w:pPr>
              <w:pStyle w:val="a3"/>
              <w:tabs>
                <w:tab w:val="left" w:pos="366"/>
              </w:tabs>
              <w:ind w:left="113" w:right="113"/>
              <w:jc w:val="both"/>
              <w:rPr>
                <w:sz w:val="24"/>
              </w:rPr>
            </w:pPr>
            <w:r w:rsidRPr="000E36F8">
              <w:rPr>
                <w:sz w:val="24"/>
              </w:rPr>
              <w:t xml:space="preserve">– навчання знанням про причини, ознаки, заходи та методів надання </w:t>
            </w:r>
            <w:proofErr w:type="spellStart"/>
            <w:r>
              <w:rPr>
                <w:sz w:val="24"/>
              </w:rPr>
              <w:t>домедичної</w:t>
            </w:r>
            <w:proofErr w:type="spellEnd"/>
            <w:r>
              <w:rPr>
                <w:sz w:val="24"/>
              </w:rPr>
              <w:t xml:space="preserve"> </w:t>
            </w:r>
            <w:r w:rsidRPr="000E36F8">
              <w:rPr>
                <w:sz w:val="24"/>
              </w:rPr>
              <w:t>допомоги при травмах та невідкладних станах;</w:t>
            </w:r>
          </w:p>
          <w:p w:rsidR="00BE089C" w:rsidRPr="009039D2" w:rsidRDefault="00BE089C" w:rsidP="007D0E44">
            <w:pPr>
              <w:pStyle w:val="a3"/>
              <w:tabs>
                <w:tab w:val="left" w:pos="366"/>
              </w:tabs>
              <w:ind w:left="113" w:right="113"/>
              <w:jc w:val="both"/>
              <w:rPr>
                <w:sz w:val="24"/>
              </w:rPr>
            </w:pPr>
            <w:r w:rsidRPr="000E36F8">
              <w:rPr>
                <w:sz w:val="24"/>
              </w:rPr>
              <w:t>–</w:t>
            </w:r>
            <w:r>
              <w:rPr>
                <w:sz w:val="24"/>
              </w:rPr>
              <w:t xml:space="preserve"> </w:t>
            </w:r>
            <w:r w:rsidRPr="000E36F8">
              <w:rPr>
                <w:sz w:val="24"/>
              </w:rPr>
              <w:t>оволодіння правилам безпечної поведінки у різних небезпечних ситуаціях природного</w:t>
            </w:r>
            <w:r>
              <w:rPr>
                <w:sz w:val="24"/>
              </w:rPr>
              <w:t xml:space="preserve"> </w:t>
            </w:r>
            <w:r w:rsidRPr="000E36F8">
              <w:rPr>
                <w:sz w:val="24"/>
              </w:rPr>
              <w:t>техногенного та соціального характеру.</w:t>
            </w:r>
          </w:p>
        </w:tc>
      </w:tr>
      <w:tr w:rsidR="00BE089C" w:rsidRPr="009039D2" w:rsidTr="00820B31">
        <w:trPr>
          <w:trHeight w:val="416"/>
        </w:trPr>
        <w:tc>
          <w:tcPr>
            <w:tcW w:w="2905" w:type="dxa"/>
            <w:shd w:val="clear" w:color="auto" w:fill="D9D9D9"/>
          </w:tcPr>
          <w:p w:rsidR="00BE089C" w:rsidRPr="009039D2" w:rsidRDefault="00BE089C" w:rsidP="00820B31">
            <w:pPr>
              <w:ind w:left="76"/>
              <w:rPr>
                <w:b/>
                <w:bCs/>
                <w:sz w:val="24"/>
                <w:szCs w:val="24"/>
              </w:rPr>
            </w:pPr>
            <w:r w:rsidRPr="009039D2">
              <w:rPr>
                <w:b/>
                <w:bCs/>
                <w:sz w:val="24"/>
                <w:szCs w:val="24"/>
              </w:rPr>
              <w:lastRenderedPageBreak/>
              <w:t>Форма підсумкового контролю</w:t>
            </w:r>
          </w:p>
        </w:tc>
        <w:tc>
          <w:tcPr>
            <w:tcW w:w="7299" w:type="dxa"/>
            <w:shd w:val="clear" w:color="auto" w:fill="auto"/>
          </w:tcPr>
          <w:p w:rsidR="00BE089C" w:rsidRPr="009039D2" w:rsidRDefault="00CE715B" w:rsidP="007D0E44">
            <w:pPr>
              <w:ind w:left="113" w:right="113"/>
              <w:rPr>
                <w:sz w:val="24"/>
                <w:szCs w:val="24"/>
              </w:rPr>
            </w:pPr>
            <w:r>
              <w:rPr>
                <w:color w:val="000000"/>
                <w:sz w:val="24"/>
                <w:szCs w:val="24"/>
              </w:rPr>
              <w:t>Д</w:t>
            </w:r>
            <w:r w:rsidR="00BE089C" w:rsidRPr="009039D2">
              <w:rPr>
                <w:color w:val="000000"/>
                <w:sz w:val="24"/>
                <w:szCs w:val="24"/>
              </w:rPr>
              <w:t>иференційований залік</w:t>
            </w:r>
          </w:p>
        </w:tc>
      </w:tr>
      <w:tr w:rsidR="00BE089C" w:rsidRPr="009039D2" w:rsidTr="00820B31">
        <w:trPr>
          <w:trHeight w:val="1833"/>
        </w:trPr>
        <w:tc>
          <w:tcPr>
            <w:tcW w:w="2905" w:type="dxa"/>
            <w:shd w:val="clear" w:color="auto" w:fill="D9D9D9"/>
          </w:tcPr>
          <w:p w:rsidR="00BE089C" w:rsidRPr="009039D2" w:rsidRDefault="00BE089C" w:rsidP="00820B31">
            <w:pPr>
              <w:pStyle w:val="TableParagraph"/>
              <w:ind w:left="76"/>
              <w:rPr>
                <w:b/>
                <w:bCs/>
                <w:sz w:val="24"/>
              </w:rPr>
            </w:pPr>
            <w:r w:rsidRPr="009039D2">
              <w:rPr>
                <w:b/>
                <w:bCs/>
                <w:sz w:val="24"/>
              </w:rPr>
              <w:t>Зміст дисципліни</w:t>
            </w:r>
          </w:p>
        </w:tc>
        <w:tc>
          <w:tcPr>
            <w:tcW w:w="7299" w:type="dxa"/>
            <w:shd w:val="clear" w:color="auto" w:fill="auto"/>
          </w:tcPr>
          <w:p w:rsidR="00BE089C" w:rsidRPr="008F62BD" w:rsidRDefault="00BE089C" w:rsidP="008F62BD">
            <w:pPr>
              <w:ind w:left="113" w:right="113"/>
              <w:jc w:val="both"/>
              <w:rPr>
                <w:b/>
                <w:sz w:val="24"/>
                <w:szCs w:val="24"/>
              </w:rPr>
            </w:pPr>
            <w:r w:rsidRPr="009149DE">
              <w:rPr>
                <w:rStyle w:val="a6"/>
                <w:szCs w:val="21"/>
                <w:bdr w:val="none" w:sz="0" w:space="0" w:color="auto" w:frame="1"/>
              </w:rPr>
              <w:t xml:space="preserve">Тема 1. </w:t>
            </w:r>
            <w:r>
              <w:rPr>
                <w:rStyle w:val="a6"/>
                <w:szCs w:val="21"/>
                <w:bdr w:val="none" w:sz="0" w:space="0" w:color="auto" w:frame="1"/>
              </w:rPr>
              <w:t>Вступ. Предмет курсу «</w:t>
            </w:r>
            <w:r w:rsidRPr="009149DE">
              <w:rPr>
                <w:rStyle w:val="a6"/>
                <w:szCs w:val="21"/>
                <w:bdr w:val="none" w:sz="0" w:space="0" w:color="auto" w:frame="1"/>
              </w:rPr>
              <w:t>Домедична допомога</w:t>
            </w:r>
            <w:r>
              <w:rPr>
                <w:rStyle w:val="a6"/>
                <w:szCs w:val="21"/>
                <w:bdr w:val="none" w:sz="0" w:space="0" w:color="auto" w:frame="1"/>
              </w:rPr>
              <w:t>"</w:t>
            </w:r>
            <w:r w:rsidRPr="009149DE">
              <w:rPr>
                <w:rStyle w:val="a6"/>
                <w:szCs w:val="21"/>
                <w:bdr w:val="none" w:sz="0" w:space="0" w:color="auto" w:frame="1"/>
              </w:rPr>
              <w:t xml:space="preserve"> як навчальна дисципліна</w:t>
            </w:r>
            <w:r w:rsidR="00986A23" w:rsidRPr="00986A23">
              <w:rPr>
                <w:b/>
                <w:bCs/>
                <w:sz w:val="24"/>
                <w:szCs w:val="24"/>
                <w:lang w:val="ru-RU"/>
              </w:rPr>
              <w:t>.</w:t>
            </w:r>
            <w:r w:rsidRPr="00BE089C">
              <w:rPr>
                <w:bCs/>
                <w:sz w:val="24"/>
                <w:szCs w:val="24"/>
              </w:rPr>
              <w:t xml:space="preserve"> </w:t>
            </w:r>
            <w:proofErr w:type="spellStart"/>
            <w:r w:rsidRPr="00BE089C">
              <w:rPr>
                <w:sz w:val="24"/>
                <w:szCs w:val="24"/>
              </w:rPr>
              <w:t>Домедична</w:t>
            </w:r>
            <w:proofErr w:type="spellEnd"/>
            <w:r w:rsidRPr="00BE089C">
              <w:rPr>
                <w:sz w:val="24"/>
                <w:szCs w:val="24"/>
              </w:rPr>
              <w:t xml:space="preserve"> допомога як навчальна дисципліна, її актуальність, зміст. </w:t>
            </w:r>
            <w:r w:rsidR="008F62BD" w:rsidRPr="008F62BD">
              <w:rPr>
                <w:sz w:val="24"/>
                <w:szCs w:val="24"/>
              </w:rPr>
              <w:t xml:space="preserve">Нормативно-правові основи надання </w:t>
            </w:r>
            <w:proofErr w:type="spellStart"/>
            <w:r w:rsidR="008F62BD" w:rsidRPr="008F62BD">
              <w:rPr>
                <w:sz w:val="24"/>
                <w:szCs w:val="24"/>
              </w:rPr>
              <w:t>домедичної</w:t>
            </w:r>
            <w:proofErr w:type="spellEnd"/>
            <w:r w:rsidR="008F62BD" w:rsidRPr="008F62BD">
              <w:rPr>
                <w:sz w:val="24"/>
                <w:szCs w:val="24"/>
              </w:rPr>
              <w:t xml:space="preserve"> допомоги</w:t>
            </w:r>
            <w:r w:rsidRPr="00BE089C">
              <w:rPr>
                <w:sz w:val="24"/>
                <w:szCs w:val="24"/>
              </w:rPr>
              <w:t>.</w:t>
            </w:r>
            <w:r w:rsidR="008F62BD">
              <w:t xml:space="preserve"> </w:t>
            </w:r>
            <w:r w:rsidR="008F62BD" w:rsidRPr="008F62BD">
              <w:rPr>
                <w:sz w:val="24"/>
                <w:szCs w:val="24"/>
              </w:rPr>
              <w:t xml:space="preserve">Поняття </w:t>
            </w:r>
            <w:proofErr w:type="spellStart"/>
            <w:r w:rsidR="008F62BD" w:rsidRPr="008F62BD">
              <w:rPr>
                <w:sz w:val="24"/>
                <w:szCs w:val="24"/>
              </w:rPr>
              <w:t>домедичної</w:t>
            </w:r>
            <w:proofErr w:type="spellEnd"/>
            <w:r w:rsidR="008F62BD" w:rsidRPr="008F62BD">
              <w:rPr>
                <w:sz w:val="24"/>
                <w:szCs w:val="24"/>
              </w:rPr>
              <w:t xml:space="preserve"> допомоги в екстремальних умовах мирного часу та бойових умовах.</w:t>
            </w:r>
          </w:p>
          <w:p w:rsidR="00BE089C" w:rsidRPr="00BE089C" w:rsidRDefault="00BE089C" w:rsidP="007D0E44">
            <w:pPr>
              <w:ind w:left="113" w:right="113"/>
              <w:jc w:val="both"/>
              <w:rPr>
                <w:sz w:val="24"/>
                <w:szCs w:val="24"/>
              </w:rPr>
            </w:pPr>
            <w:r w:rsidRPr="00BE089C">
              <w:rPr>
                <w:b/>
                <w:sz w:val="24"/>
                <w:szCs w:val="24"/>
              </w:rPr>
              <w:t>Тема 2. Загальні поняття про</w:t>
            </w:r>
            <w:r w:rsidR="008F62BD">
              <w:rPr>
                <w:b/>
                <w:sz w:val="24"/>
                <w:szCs w:val="24"/>
                <w:lang w:val="ru-RU"/>
              </w:rPr>
              <w:t xml:space="preserve"> а</w:t>
            </w:r>
            <w:proofErr w:type="spellStart"/>
            <w:r w:rsidRPr="00BE089C">
              <w:rPr>
                <w:b/>
                <w:sz w:val="24"/>
                <w:szCs w:val="24"/>
              </w:rPr>
              <w:t>натомію</w:t>
            </w:r>
            <w:proofErr w:type="spellEnd"/>
            <w:r w:rsidRPr="00BE089C">
              <w:rPr>
                <w:b/>
                <w:sz w:val="24"/>
                <w:szCs w:val="24"/>
              </w:rPr>
              <w:t xml:space="preserve"> та фізіологію людини.</w:t>
            </w:r>
          </w:p>
          <w:p w:rsidR="008F62BD" w:rsidRDefault="008F62BD" w:rsidP="007D0E44">
            <w:pPr>
              <w:ind w:left="113" w:right="113"/>
              <w:jc w:val="both"/>
              <w:rPr>
                <w:sz w:val="24"/>
                <w:szCs w:val="24"/>
              </w:rPr>
            </w:pPr>
            <w:r w:rsidRPr="008F62BD">
              <w:rPr>
                <w:sz w:val="24"/>
                <w:szCs w:val="24"/>
              </w:rPr>
              <w:t>Загальні поняття будови та функцій людського організму.  Особливості анатомічної будови основних органів та систем. Особливості фізіології основних органів та систем. Особливості анатомічної будови та життєвих показників новонароджених, дітей, підлітків та людей старшого віку.</w:t>
            </w:r>
          </w:p>
          <w:p w:rsidR="00CE74C5" w:rsidRPr="00986A23" w:rsidRDefault="00BE089C" w:rsidP="00986A23">
            <w:pPr>
              <w:ind w:left="113" w:right="113"/>
              <w:jc w:val="both"/>
              <w:rPr>
                <w:b/>
                <w:bCs/>
                <w:sz w:val="24"/>
                <w:szCs w:val="24"/>
              </w:rPr>
            </w:pPr>
            <w:r w:rsidRPr="00BE089C">
              <w:rPr>
                <w:b/>
                <w:sz w:val="24"/>
                <w:szCs w:val="24"/>
              </w:rPr>
              <w:t xml:space="preserve">Тема 3. </w:t>
            </w:r>
            <w:r w:rsidR="008F62BD" w:rsidRPr="008F62BD">
              <w:rPr>
                <w:b/>
                <w:sz w:val="24"/>
                <w:szCs w:val="24"/>
              </w:rPr>
              <w:t xml:space="preserve">Правила та принципи поведінки на місці події при наданні </w:t>
            </w:r>
            <w:proofErr w:type="spellStart"/>
            <w:r w:rsidR="008F62BD" w:rsidRPr="008F62BD">
              <w:rPr>
                <w:b/>
                <w:sz w:val="24"/>
                <w:szCs w:val="24"/>
              </w:rPr>
              <w:t>домедичної</w:t>
            </w:r>
            <w:proofErr w:type="spellEnd"/>
            <w:r w:rsidR="008F62BD" w:rsidRPr="008F62BD">
              <w:rPr>
                <w:b/>
                <w:sz w:val="24"/>
                <w:szCs w:val="24"/>
              </w:rPr>
              <w:t xml:space="preserve"> допомоги.</w:t>
            </w:r>
            <w:r w:rsidR="00986A23">
              <w:rPr>
                <w:b/>
                <w:bCs/>
                <w:sz w:val="24"/>
                <w:szCs w:val="24"/>
                <w:lang w:val="ru-RU"/>
              </w:rPr>
              <w:t xml:space="preserve"> </w:t>
            </w:r>
            <w:r w:rsidR="00CE74C5" w:rsidRPr="00CE74C5">
              <w:rPr>
                <w:sz w:val="24"/>
                <w:szCs w:val="24"/>
              </w:rPr>
              <w:t xml:space="preserve">Засоби особистої безпеки. Огляд постраждалого за алгоритмом САВСДЕ (КОЛЕСО). Способи та принципи переміщення постраждалого при наданні </w:t>
            </w:r>
            <w:proofErr w:type="spellStart"/>
            <w:r w:rsidR="00CE74C5" w:rsidRPr="00CE74C5">
              <w:rPr>
                <w:sz w:val="24"/>
                <w:szCs w:val="24"/>
              </w:rPr>
              <w:t>домедичної</w:t>
            </w:r>
            <w:proofErr w:type="spellEnd"/>
            <w:r w:rsidR="00CE74C5" w:rsidRPr="00CE74C5">
              <w:rPr>
                <w:sz w:val="24"/>
                <w:szCs w:val="24"/>
              </w:rPr>
              <w:t xml:space="preserve"> допомоги. Визначення рівня свідомості за шкалою APVU.</w:t>
            </w:r>
          </w:p>
          <w:p w:rsidR="00CE74C5" w:rsidRPr="00986A23" w:rsidRDefault="00BE089C" w:rsidP="00986A23">
            <w:pPr>
              <w:ind w:left="113" w:right="113"/>
              <w:jc w:val="both"/>
              <w:rPr>
                <w:b/>
                <w:sz w:val="24"/>
                <w:szCs w:val="24"/>
              </w:rPr>
            </w:pPr>
            <w:r>
              <w:rPr>
                <w:b/>
                <w:sz w:val="24"/>
                <w:szCs w:val="24"/>
              </w:rPr>
              <w:t xml:space="preserve">Тема 4. </w:t>
            </w:r>
            <w:proofErr w:type="spellStart"/>
            <w:r w:rsidR="00CE74C5" w:rsidRPr="00CE74C5">
              <w:rPr>
                <w:b/>
                <w:sz w:val="24"/>
                <w:szCs w:val="24"/>
              </w:rPr>
              <w:t>Домедична</w:t>
            </w:r>
            <w:proofErr w:type="spellEnd"/>
            <w:r w:rsidR="00CE74C5" w:rsidRPr="00CE74C5">
              <w:rPr>
                <w:b/>
                <w:sz w:val="24"/>
                <w:szCs w:val="24"/>
              </w:rPr>
              <w:t xml:space="preserve"> допомога при кровотечах, закритих та відкритих ушкодженнях.</w:t>
            </w:r>
            <w:r w:rsidR="00986A23">
              <w:rPr>
                <w:b/>
                <w:sz w:val="24"/>
                <w:szCs w:val="24"/>
                <w:lang w:val="ru-RU"/>
              </w:rPr>
              <w:t xml:space="preserve"> </w:t>
            </w:r>
            <w:r w:rsidR="00CE74C5" w:rsidRPr="00CE74C5">
              <w:rPr>
                <w:sz w:val="24"/>
                <w:szCs w:val="24"/>
              </w:rPr>
              <w:t>Основи десмургії. Рани та поранення. Види кровотеч. Артеріальна, венозна та капілярна кровотеча. Долікарська допомога при травмах та кровотечах.</w:t>
            </w:r>
          </w:p>
          <w:p w:rsidR="00986A23" w:rsidRDefault="00BE089C" w:rsidP="00986A23">
            <w:pPr>
              <w:ind w:left="113" w:right="113"/>
              <w:jc w:val="both"/>
              <w:rPr>
                <w:sz w:val="24"/>
                <w:szCs w:val="24"/>
              </w:rPr>
            </w:pPr>
            <w:r w:rsidRPr="00BE089C">
              <w:rPr>
                <w:b/>
                <w:sz w:val="24"/>
                <w:szCs w:val="24"/>
              </w:rPr>
              <w:t>Тема 5. Пошкодження дихальної системи</w:t>
            </w:r>
            <w:r w:rsidR="00986A23">
              <w:rPr>
                <w:b/>
                <w:sz w:val="24"/>
                <w:szCs w:val="24"/>
                <w:lang w:val="ru-RU"/>
              </w:rPr>
              <w:t xml:space="preserve">. </w:t>
            </w:r>
            <w:r w:rsidR="00CE74C5" w:rsidRPr="00CE74C5">
              <w:rPr>
                <w:sz w:val="24"/>
                <w:szCs w:val="24"/>
              </w:rPr>
              <w:t xml:space="preserve">Порушення прохідності дихальних шляхів. Зупинка дихання. Пневмоторакс.  Асфіксія. Основи надання </w:t>
            </w:r>
            <w:proofErr w:type="spellStart"/>
            <w:r w:rsidR="00CE74C5" w:rsidRPr="00CE74C5">
              <w:rPr>
                <w:sz w:val="24"/>
                <w:szCs w:val="24"/>
              </w:rPr>
              <w:t>домедичної</w:t>
            </w:r>
            <w:proofErr w:type="spellEnd"/>
            <w:r w:rsidR="00CE74C5" w:rsidRPr="00CE74C5">
              <w:rPr>
                <w:sz w:val="24"/>
                <w:szCs w:val="24"/>
              </w:rPr>
              <w:t xml:space="preserve"> підготовки. </w:t>
            </w:r>
          </w:p>
          <w:p w:rsidR="00CE74C5" w:rsidRPr="00986A23" w:rsidRDefault="00BE089C" w:rsidP="00986A23">
            <w:pPr>
              <w:ind w:left="113" w:right="113"/>
              <w:jc w:val="both"/>
              <w:rPr>
                <w:b/>
                <w:sz w:val="24"/>
                <w:szCs w:val="24"/>
              </w:rPr>
            </w:pPr>
            <w:r>
              <w:rPr>
                <w:b/>
                <w:sz w:val="24"/>
                <w:szCs w:val="24"/>
              </w:rPr>
              <w:t>Тема 6</w:t>
            </w:r>
            <w:r w:rsidRPr="009149DE">
              <w:rPr>
                <w:b/>
                <w:sz w:val="24"/>
                <w:szCs w:val="24"/>
              </w:rPr>
              <w:t xml:space="preserve">. </w:t>
            </w:r>
            <w:r w:rsidR="00CE74C5" w:rsidRPr="00CE74C5">
              <w:rPr>
                <w:b/>
                <w:sz w:val="24"/>
                <w:szCs w:val="24"/>
              </w:rPr>
              <w:t>Ушкодження опорно-рухового апарату.</w:t>
            </w:r>
            <w:r w:rsidR="00986A23">
              <w:rPr>
                <w:b/>
                <w:sz w:val="24"/>
                <w:szCs w:val="24"/>
                <w:lang w:val="ru-RU"/>
              </w:rPr>
              <w:t xml:space="preserve"> </w:t>
            </w:r>
            <w:r w:rsidR="00CE74C5" w:rsidRPr="00CE74C5">
              <w:rPr>
                <w:sz w:val="24"/>
                <w:szCs w:val="24"/>
              </w:rPr>
              <w:t xml:space="preserve">Вивихи. Розтягнення та розриви. Забиття. Переломи кісток. Травматична ампутація кінцівки. Основи </w:t>
            </w:r>
            <w:proofErr w:type="spellStart"/>
            <w:r w:rsidR="00CE74C5" w:rsidRPr="00CE74C5">
              <w:rPr>
                <w:sz w:val="24"/>
                <w:szCs w:val="24"/>
              </w:rPr>
              <w:t>домедичної</w:t>
            </w:r>
            <w:proofErr w:type="spellEnd"/>
            <w:r w:rsidR="00CE74C5" w:rsidRPr="00CE74C5">
              <w:rPr>
                <w:sz w:val="24"/>
                <w:szCs w:val="24"/>
              </w:rPr>
              <w:t xml:space="preserve"> допомоги та транспортної іммобілізації.</w:t>
            </w:r>
          </w:p>
          <w:p w:rsidR="00CE74C5" w:rsidRDefault="00BE089C" w:rsidP="00986A23">
            <w:pPr>
              <w:ind w:left="113" w:right="113"/>
              <w:jc w:val="both"/>
              <w:rPr>
                <w:sz w:val="24"/>
                <w:szCs w:val="24"/>
              </w:rPr>
            </w:pPr>
            <w:r w:rsidRPr="009149DE">
              <w:rPr>
                <w:b/>
                <w:sz w:val="24"/>
                <w:szCs w:val="24"/>
              </w:rPr>
              <w:t xml:space="preserve">Тема </w:t>
            </w:r>
            <w:r>
              <w:rPr>
                <w:b/>
                <w:sz w:val="24"/>
                <w:szCs w:val="24"/>
              </w:rPr>
              <w:t>7</w:t>
            </w:r>
            <w:r w:rsidRPr="009149DE">
              <w:rPr>
                <w:b/>
                <w:sz w:val="24"/>
                <w:szCs w:val="24"/>
              </w:rPr>
              <w:t>. Отруєння.</w:t>
            </w:r>
            <w:r w:rsidR="00986A23">
              <w:rPr>
                <w:sz w:val="24"/>
                <w:szCs w:val="24"/>
                <w:lang w:val="ru-RU"/>
              </w:rPr>
              <w:t xml:space="preserve"> </w:t>
            </w:r>
            <w:r w:rsidR="00CE74C5" w:rsidRPr="00CE74C5">
              <w:rPr>
                <w:sz w:val="24"/>
                <w:szCs w:val="24"/>
              </w:rPr>
              <w:t xml:space="preserve">Харчове отруєння. Отруєння алкоголем. Отруєння засобами побутової хімії і лікарськими препаратами. Отруєння чадним газом. Отруєння грибами, рослинами. Укуси отруйних змій та комах. </w:t>
            </w:r>
            <w:proofErr w:type="spellStart"/>
            <w:r w:rsidR="00CE74C5" w:rsidRPr="00CE74C5">
              <w:rPr>
                <w:sz w:val="24"/>
                <w:szCs w:val="24"/>
              </w:rPr>
              <w:t>Домедична</w:t>
            </w:r>
            <w:proofErr w:type="spellEnd"/>
            <w:r w:rsidR="00CE74C5" w:rsidRPr="00CE74C5">
              <w:rPr>
                <w:sz w:val="24"/>
                <w:szCs w:val="24"/>
              </w:rPr>
              <w:t xml:space="preserve"> допомога.</w:t>
            </w:r>
          </w:p>
          <w:p w:rsidR="00BE089C" w:rsidRPr="00BE089C" w:rsidRDefault="00BE089C" w:rsidP="00986A23">
            <w:pPr>
              <w:ind w:left="113" w:right="113"/>
              <w:jc w:val="both"/>
              <w:rPr>
                <w:sz w:val="24"/>
                <w:szCs w:val="24"/>
              </w:rPr>
            </w:pPr>
            <w:r w:rsidRPr="00BE089C">
              <w:rPr>
                <w:b/>
                <w:sz w:val="24"/>
                <w:szCs w:val="24"/>
              </w:rPr>
              <w:t xml:space="preserve">Тема 8. </w:t>
            </w:r>
            <w:r w:rsidR="00CE74C5" w:rsidRPr="00986A23">
              <w:rPr>
                <w:b/>
                <w:sz w:val="24"/>
                <w:szCs w:val="24"/>
              </w:rPr>
              <w:t>Опіки</w:t>
            </w:r>
            <w:r w:rsidR="00986A23" w:rsidRPr="00136969">
              <w:rPr>
                <w:b/>
                <w:sz w:val="24"/>
                <w:szCs w:val="24"/>
              </w:rPr>
              <w:t>.</w:t>
            </w:r>
            <w:r w:rsidR="00986A23" w:rsidRPr="00986A23">
              <w:rPr>
                <w:sz w:val="24"/>
                <w:szCs w:val="24"/>
              </w:rPr>
              <w:t xml:space="preserve"> </w:t>
            </w:r>
            <w:r w:rsidR="00CE74C5" w:rsidRPr="00CE74C5">
              <w:rPr>
                <w:sz w:val="24"/>
                <w:szCs w:val="24"/>
              </w:rPr>
              <w:t>Термічні та хімічні ураження (дії кислот і лугів). Відмороження. Температурний баланс (</w:t>
            </w:r>
            <w:proofErr w:type="spellStart"/>
            <w:r w:rsidR="00CE74C5" w:rsidRPr="00CE74C5">
              <w:rPr>
                <w:sz w:val="24"/>
                <w:szCs w:val="24"/>
              </w:rPr>
              <w:t>гіпо</w:t>
            </w:r>
            <w:proofErr w:type="spellEnd"/>
            <w:r w:rsidR="00CE74C5" w:rsidRPr="00CE74C5">
              <w:rPr>
                <w:sz w:val="24"/>
                <w:szCs w:val="24"/>
              </w:rPr>
              <w:t>- та гіпертермія).</w:t>
            </w:r>
          </w:p>
          <w:p w:rsidR="00CE74C5" w:rsidRDefault="00BE089C" w:rsidP="00986A23">
            <w:pPr>
              <w:ind w:left="113" w:right="113"/>
              <w:jc w:val="both"/>
              <w:rPr>
                <w:sz w:val="24"/>
                <w:szCs w:val="24"/>
              </w:rPr>
            </w:pPr>
            <w:r w:rsidRPr="009149DE">
              <w:rPr>
                <w:b/>
                <w:sz w:val="24"/>
                <w:szCs w:val="24"/>
              </w:rPr>
              <w:t>Тема</w:t>
            </w:r>
            <w:r w:rsidR="00986A23">
              <w:rPr>
                <w:b/>
                <w:sz w:val="24"/>
                <w:szCs w:val="24"/>
                <w:lang w:val="ru-RU"/>
              </w:rPr>
              <w:t xml:space="preserve"> </w:t>
            </w:r>
            <w:r>
              <w:rPr>
                <w:b/>
                <w:sz w:val="24"/>
                <w:szCs w:val="24"/>
              </w:rPr>
              <w:t>9.</w:t>
            </w:r>
            <w:r w:rsidR="00986A23">
              <w:rPr>
                <w:b/>
                <w:sz w:val="24"/>
                <w:szCs w:val="24"/>
                <w:lang w:val="ru-RU"/>
              </w:rPr>
              <w:t xml:space="preserve"> </w:t>
            </w:r>
            <w:r w:rsidR="00CE74C5" w:rsidRPr="00CE74C5">
              <w:rPr>
                <w:b/>
                <w:sz w:val="24"/>
                <w:szCs w:val="24"/>
              </w:rPr>
              <w:t>Утоплення. Ураження електричним струмом.</w:t>
            </w:r>
            <w:r w:rsidR="00986A23">
              <w:rPr>
                <w:sz w:val="24"/>
                <w:szCs w:val="24"/>
                <w:lang w:val="ru-RU"/>
              </w:rPr>
              <w:t xml:space="preserve"> </w:t>
            </w:r>
            <w:r w:rsidR="00CE74C5" w:rsidRPr="00CE74C5">
              <w:rPr>
                <w:sz w:val="24"/>
                <w:szCs w:val="24"/>
              </w:rPr>
              <w:t xml:space="preserve">Послідовність дій із надання </w:t>
            </w:r>
            <w:proofErr w:type="spellStart"/>
            <w:r w:rsidR="00CE74C5" w:rsidRPr="00CE74C5">
              <w:rPr>
                <w:sz w:val="24"/>
                <w:szCs w:val="24"/>
              </w:rPr>
              <w:t>домедичної</w:t>
            </w:r>
            <w:proofErr w:type="spellEnd"/>
            <w:r w:rsidR="00CE74C5" w:rsidRPr="00CE74C5">
              <w:rPr>
                <w:sz w:val="24"/>
                <w:szCs w:val="24"/>
              </w:rPr>
              <w:t xml:space="preserve"> допомоги постраждалим внаслідок утоплення. Влив електричного струму на організм людини. Звільнення потерпілого від дії електричного струму. Явище фібриляції серця. Поняття порогу </w:t>
            </w:r>
            <w:proofErr w:type="spellStart"/>
            <w:r w:rsidR="00CE74C5" w:rsidRPr="00CE74C5">
              <w:rPr>
                <w:sz w:val="24"/>
                <w:szCs w:val="24"/>
              </w:rPr>
              <w:t>невідпускаючого</w:t>
            </w:r>
            <w:proofErr w:type="spellEnd"/>
            <w:r w:rsidR="00CE74C5" w:rsidRPr="00CE74C5">
              <w:rPr>
                <w:sz w:val="24"/>
                <w:szCs w:val="24"/>
              </w:rPr>
              <w:t xml:space="preserve"> струму. </w:t>
            </w:r>
            <w:proofErr w:type="spellStart"/>
            <w:r w:rsidR="00CE74C5" w:rsidRPr="00CE74C5">
              <w:rPr>
                <w:sz w:val="24"/>
                <w:szCs w:val="24"/>
              </w:rPr>
              <w:t>Домедична</w:t>
            </w:r>
            <w:proofErr w:type="spellEnd"/>
            <w:r w:rsidR="00CE74C5" w:rsidRPr="00CE74C5">
              <w:rPr>
                <w:sz w:val="24"/>
                <w:szCs w:val="24"/>
              </w:rPr>
              <w:t xml:space="preserve"> допомога</w:t>
            </w:r>
          </w:p>
          <w:p w:rsidR="00BE089C" w:rsidRPr="009149DE" w:rsidRDefault="00BE089C" w:rsidP="00986A23">
            <w:pPr>
              <w:ind w:left="113" w:right="113"/>
              <w:jc w:val="both"/>
              <w:rPr>
                <w:sz w:val="24"/>
                <w:szCs w:val="24"/>
              </w:rPr>
            </w:pPr>
            <w:r w:rsidRPr="009149DE">
              <w:rPr>
                <w:b/>
                <w:sz w:val="24"/>
                <w:szCs w:val="24"/>
              </w:rPr>
              <w:t>Тема</w:t>
            </w:r>
            <w:r w:rsidR="00986A23">
              <w:rPr>
                <w:b/>
                <w:sz w:val="24"/>
                <w:szCs w:val="24"/>
                <w:lang w:val="ru-RU"/>
              </w:rPr>
              <w:t xml:space="preserve"> </w:t>
            </w:r>
            <w:r>
              <w:rPr>
                <w:b/>
                <w:sz w:val="24"/>
                <w:szCs w:val="24"/>
              </w:rPr>
              <w:t>1</w:t>
            </w:r>
            <w:r w:rsidR="00D31ED2">
              <w:rPr>
                <w:b/>
                <w:sz w:val="24"/>
                <w:szCs w:val="24"/>
              </w:rPr>
              <w:t>0</w:t>
            </w:r>
            <w:r w:rsidRPr="009149DE">
              <w:rPr>
                <w:b/>
                <w:sz w:val="24"/>
                <w:szCs w:val="24"/>
              </w:rPr>
              <w:t xml:space="preserve">. </w:t>
            </w:r>
            <w:r w:rsidR="00CE74C5" w:rsidRPr="00CE74C5">
              <w:rPr>
                <w:b/>
                <w:sz w:val="24"/>
                <w:szCs w:val="24"/>
              </w:rPr>
              <w:t xml:space="preserve">Диференційна діагностика </w:t>
            </w:r>
            <w:proofErr w:type="spellStart"/>
            <w:r w:rsidR="00CE74C5" w:rsidRPr="00CE74C5">
              <w:rPr>
                <w:b/>
                <w:sz w:val="24"/>
                <w:szCs w:val="24"/>
              </w:rPr>
              <w:t>пошкодженнь</w:t>
            </w:r>
            <w:proofErr w:type="spellEnd"/>
            <w:r w:rsidR="00CE74C5" w:rsidRPr="00CE74C5">
              <w:rPr>
                <w:b/>
                <w:sz w:val="24"/>
                <w:szCs w:val="24"/>
              </w:rPr>
              <w:t xml:space="preserve"> органів черевної порожнини.</w:t>
            </w:r>
            <w:r w:rsidR="00986A23">
              <w:rPr>
                <w:b/>
                <w:sz w:val="24"/>
                <w:szCs w:val="24"/>
                <w:lang w:val="ru-RU"/>
              </w:rPr>
              <w:t xml:space="preserve"> </w:t>
            </w:r>
            <w:r w:rsidR="00CE74C5" w:rsidRPr="00CE74C5">
              <w:rPr>
                <w:sz w:val="24"/>
                <w:szCs w:val="24"/>
              </w:rPr>
              <w:t xml:space="preserve">Закриті і відкриті ушкодження стінки і органів черевної порожнини. Основи </w:t>
            </w:r>
            <w:proofErr w:type="spellStart"/>
            <w:r w:rsidR="00CE74C5" w:rsidRPr="00CE74C5">
              <w:rPr>
                <w:sz w:val="24"/>
                <w:szCs w:val="24"/>
              </w:rPr>
              <w:t>домедичної</w:t>
            </w:r>
            <w:proofErr w:type="spellEnd"/>
            <w:r w:rsidR="00CE74C5" w:rsidRPr="00CE74C5">
              <w:rPr>
                <w:sz w:val="24"/>
                <w:szCs w:val="24"/>
              </w:rPr>
              <w:t xml:space="preserve"> допомоги.</w:t>
            </w:r>
          </w:p>
          <w:p w:rsidR="00CE74C5" w:rsidRPr="00986A23" w:rsidRDefault="00CE74C5" w:rsidP="00986A23">
            <w:pPr>
              <w:pStyle w:val="a5"/>
              <w:shd w:val="clear" w:color="auto" w:fill="FFFFFF"/>
              <w:spacing w:before="0" w:beforeAutospacing="0" w:after="0" w:afterAutospacing="0"/>
              <w:ind w:left="113" w:right="113"/>
              <w:jc w:val="both"/>
              <w:textAlignment w:val="baseline"/>
              <w:rPr>
                <w:b/>
              </w:rPr>
            </w:pPr>
            <w:r>
              <w:rPr>
                <w:b/>
                <w:lang w:val="ru-RU"/>
              </w:rPr>
              <w:t xml:space="preserve">Тема 11. </w:t>
            </w:r>
            <w:r w:rsidRPr="00CE74C5">
              <w:rPr>
                <w:b/>
              </w:rPr>
              <w:t>Диференційна діагностика гострих патологічних станів ССС.</w:t>
            </w:r>
            <w:r w:rsidR="00986A23">
              <w:rPr>
                <w:b/>
                <w:lang w:val="ru-RU"/>
              </w:rPr>
              <w:t xml:space="preserve"> </w:t>
            </w:r>
            <w:r w:rsidRPr="00CE74C5">
              <w:t xml:space="preserve">Гострі серцево-судинні захворювання: стенокардія, інфаркт міокарду, гіпертонічний криз.  Гострі неврологічні розлади: інсульт. Основи </w:t>
            </w:r>
            <w:proofErr w:type="spellStart"/>
            <w:r w:rsidRPr="00CE74C5">
              <w:t>домедичної</w:t>
            </w:r>
            <w:proofErr w:type="spellEnd"/>
            <w:r w:rsidRPr="00CE74C5">
              <w:t xml:space="preserve"> допомоги </w:t>
            </w:r>
          </w:p>
          <w:p w:rsidR="00CE74C5" w:rsidRPr="00986A23" w:rsidRDefault="00CF749C" w:rsidP="00986A23">
            <w:pPr>
              <w:pStyle w:val="a5"/>
              <w:shd w:val="clear" w:color="auto" w:fill="FFFFFF"/>
              <w:spacing w:before="0" w:beforeAutospacing="0" w:after="0" w:afterAutospacing="0"/>
              <w:ind w:left="113" w:right="113"/>
              <w:jc w:val="both"/>
              <w:textAlignment w:val="baseline"/>
              <w:rPr>
                <w:b/>
              </w:rPr>
            </w:pPr>
            <w:r>
              <w:rPr>
                <w:b/>
              </w:rPr>
              <w:t>Тема 1</w:t>
            </w:r>
            <w:r w:rsidR="00D31ED2">
              <w:rPr>
                <w:b/>
              </w:rPr>
              <w:t>2</w:t>
            </w:r>
            <w:r w:rsidR="00BE089C" w:rsidRPr="00BE089C">
              <w:rPr>
                <w:b/>
              </w:rPr>
              <w:t xml:space="preserve">. </w:t>
            </w:r>
            <w:r w:rsidR="00CE74C5" w:rsidRPr="00CE74C5">
              <w:rPr>
                <w:b/>
              </w:rPr>
              <w:t xml:space="preserve">Особливості </w:t>
            </w:r>
            <w:proofErr w:type="spellStart"/>
            <w:r w:rsidR="00CE74C5" w:rsidRPr="00CE74C5">
              <w:rPr>
                <w:b/>
              </w:rPr>
              <w:t>домедичної</w:t>
            </w:r>
            <w:proofErr w:type="spellEnd"/>
            <w:r w:rsidR="00CE74C5" w:rsidRPr="00CE74C5">
              <w:rPr>
                <w:b/>
              </w:rPr>
              <w:t xml:space="preserve"> допомоги в умовах бойових дій.</w:t>
            </w:r>
            <w:r w:rsidR="00986A23">
              <w:rPr>
                <w:b/>
                <w:lang w:val="ru-RU"/>
              </w:rPr>
              <w:t xml:space="preserve"> </w:t>
            </w:r>
            <w:r w:rsidR="00CE74C5" w:rsidRPr="00CE74C5">
              <w:t xml:space="preserve">Розподіл та об’єм надання </w:t>
            </w:r>
            <w:proofErr w:type="spellStart"/>
            <w:r w:rsidR="00CE74C5" w:rsidRPr="00CE74C5">
              <w:t>домедичної</w:t>
            </w:r>
            <w:proofErr w:type="spellEnd"/>
            <w:r w:rsidR="00CE74C5" w:rsidRPr="00CE74C5">
              <w:t xml:space="preserve"> допомоги в залежності від тактичної ситуації на полі бою. Різновиди бойових ушкоджень </w:t>
            </w:r>
            <w:r w:rsidR="00CE74C5" w:rsidRPr="00CE74C5">
              <w:lastRenderedPageBreak/>
              <w:t>та травм.</w:t>
            </w:r>
          </w:p>
          <w:p w:rsidR="00CE74C5" w:rsidRPr="00986A23" w:rsidRDefault="00BE089C" w:rsidP="00986A23">
            <w:pPr>
              <w:pStyle w:val="a5"/>
              <w:shd w:val="clear" w:color="auto" w:fill="FFFFFF"/>
              <w:spacing w:before="0" w:beforeAutospacing="0" w:after="0" w:afterAutospacing="0"/>
              <w:ind w:left="113" w:right="113"/>
              <w:jc w:val="both"/>
              <w:textAlignment w:val="baseline"/>
              <w:rPr>
                <w:rStyle w:val="a6"/>
                <w:szCs w:val="21"/>
                <w:bdr w:val="none" w:sz="0" w:space="0" w:color="auto" w:frame="1"/>
              </w:rPr>
            </w:pPr>
            <w:r w:rsidRPr="009149DE">
              <w:rPr>
                <w:rStyle w:val="a6"/>
                <w:szCs w:val="21"/>
                <w:bdr w:val="none" w:sz="0" w:space="0" w:color="auto" w:frame="1"/>
              </w:rPr>
              <w:t xml:space="preserve">Тема </w:t>
            </w:r>
            <w:r w:rsidR="00CF749C">
              <w:rPr>
                <w:rStyle w:val="a6"/>
                <w:szCs w:val="21"/>
                <w:bdr w:val="none" w:sz="0" w:space="0" w:color="auto" w:frame="1"/>
              </w:rPr>
              <w:t>1</w:t>
            </w:r>
            <w:r w:rsidR="00D31ED2">
              <w:rPr>
                <w:rStyle w:val="a6"/>
                <w:szCs w:val="21"/>
                <w:bdr w:val="none" w:sz="0" w:space="0" w:color="auto" w:frame="1"/>
              </w:rPr>
              <w:t>3</w:t>
            </w:r>
            <w:r w:rsidRPr="009149DE">
              <w:rPr>
                <w:rStyle w:val="a6"/>
                <w:szCs w:val="21"/>
                <w:bdr w:val="none" w:sz="0" w:space="0" w:color="auto" w:frame="1"/>
              </w:rPr>
              <w:t xml:space="preserve">. </w:t>
            </w:r>
            <w:r w:rsidR="00CE74C5" w:rsidRPr="00CE74C5">
              <w:rPr>
                <w:rStyle w:val="a6"/>
                <w:szCs w:val="21"/>
                <w:bdr w:val="none" w:sz="0" w:space="0" w:color="auto" w:frame="1"/>
              </w:rPr>
              <w:t xml:space="preserve">Особливості надання </w:t>
            </w:r>
            <w:proofErr w:type="spellStart"/>
            <w:r w:rsidR="00CE74C5" w:rsidRPr="00CE74C5">
              <w:rPr>
                <w:rStyle w:val="a6"/>
                <w:szCs w:val="21"/>
                <w:bdr w:val="none" w:sz="0" w:space="0" w:color="auto" w:frame="1"/>
              </w:rPr>
              <w:t>домедичної</w:t>
            </w:r>
            <w:proofErr w:type="spellEnd"/>
            <w:r w:rsidR="00CE74C5" w:rsidRPr="00CE74C5">
              <w:rPr>
                <w:rStyle w:val="a6"/>
                <w:szCs w:val="21"/>
                <w:bdr w:val="none" w:sz="0" w:space="0" w:color="auto" w:frame="1"/>
              </w:rPr>
              <w:t xml:space="preserve"> допомоги відповідно до сектору.</w:t>
            </w:r>
            <w:r w:rsidR="00986A23">
              <w:rPr>
                <w:rStyle w:val="a6"/>
                <w:szCs w:val="21"/>
                <w:bdr w:val="none" w:sz="0" w:space="0" w:color="auto" w:frame="1"/>
                <w:lang w:val="ru-RU"/>
              </w:rPr>
              <w:t xml:space="preserve"> </w:t>
            </w:r>
            <w:r w:rsidR="00CE74C5" w:rsidRPr="00CE74C5">
              <w:rPr>
                <w:rStyle w:val="a6"/>
                <w:b w:val="0"/>
                <w:szCs w:val="21"/>
                <w:bdr w:val="none" w:sz="0" w:space="0" w:color="auto" w:frame="1"/>
              </w:rPr>
              <w:t>Протокол CAВCDE та контроль стану пораненого. Заповнення МІСТ-рапорту. Поняття медичного сортування (</w:t>
            </w:r>
            <w:proofErr w:type="spellStart"/>
            <w:r w:rsidR="00CE74C5" w:rsidRPr="00CE74C5">
              <w:rPr>
                <w:rStyle w:val="a6"/>
                <w:b w:val="0"/>
                <w:szCs w:val="21"/>
                <w:bdr w:val="none" w:sz="0" w:space="0" w:color="auto" w:frame="1"/>
              </w:rPr>
              <w:t>тріажу</w:t>
            </w:r>
            <w:proofErr w:type="spellEnd"/>
            <w:r w:rsidR="00CE74C5" w:rsidRPr="00CE74C5">
              <w:rPr>
                <w:rStyle w:val="a6"/>
                <w:b w:val="0"/>
                <w:szCs w:val="21"/>
                <w:bdr w:val="none" w:sz="0" w:space="0" w:color="auto" w:frame="1"/>
              </w:rPr>
              <w:t>).</w:t>
            </w:r>
          </w:p>
          <w:p w:rsidR="00BE089C" w:rsidRDefault="00BE089C" w:rsidP="00986A23">
            <w:pPr>
              <w:pStyle w:val="a5"/>
              <w:shd w:val="clear" w:color="auto" w:fill="FFFFFF"/>
              <w:spacing w:before="0" w:beforeAutospacing="0" w:after="0" w:afterAutospacing="0"/>
              <w:ind w:left="113" w:right="113"/>
              <w:jc w:val="both"/>
              <w:textAlignment w:val="baseline"/>
              <w:rPr>
                <w:szCs w:val="21"/>
              </w:rPr>
            </w:pPr>
            <w:r w:rsidRPr="009149DE">
              <w:rPr>
                <w:rStyle w:val="a6"/>
                <w:szCs w:val="21"/>
                <w:bdr w:val="none" w:sz="0" w:space="0" w:color="auto" w:frame="1"/>
              </w:rPr>
              <w:t xml:space="preserve">Тема </w:t>
            </w:r>
            <w:r w:rsidR="00CF749C">
              <w:rPr>
                <w:rStyle w:val="a6"/>
                <w:szCs w:val="21"/>
                <w:bdr w:val="none" w:sz="0" w:space="0" w:color="auto" w:frame="1"/>
              </w:rPr>
              <w:t>1</w:t>
            </w:r>
            <w:r w:rsidR="00D31ED2">
              <w:rPr>
                <w:rStyle w:val="a6"/>
                <w:szCs w:val="21"/>
                <w:bdr w:val="none" w:sz="0" w:space="0" w:color="auto" w:frame="1"/>
              </w:rPr>
              <w:t>4</w:t>
            </w:r>
            <w:r w:rsidRPr="009149DE">
              <w:rPr>
                <w:rStyle w:val="a6"/>
                <w:szCs w:val="21"/>
                <w:bdr w:val="none" w:sz="0" w:space="0" w:color="auto" w:frame="1"/>
              </w:rPr>
              <w:t xml:space="preserve">. </w:t>
            </w:r>
            <w:r w:rsidR="00CE74C5" w:rsidRPr="00CE74C5">
              <w:rPr>
                <w:rStyle w:val="a6"/>
                <w:szCs w:val="21"/>
                <w:bdr w:val="none" w:sz="0" w:space="0" w:color="auto" w:frame="1"/>
              </w:rPr>
              <w:t>Поведінка людей в надзвичайних ситуаціях і бойових умовах.</w:t>
            </w:r>
            <w:r w:rsidR="00986A23">
              <w:rPr>
                <w:lang w:val="ru-RU"/>
              </w:rPr>
              <w:t xml:space="preserve"> </w:t>
            </w:r>
            <w:r w:rsidR="00CE74C5" w:rsidRPr="00CE74C5">
              <w:rPr>
                <w:szCs w:val="21"/>
              </w:rPr>
              <w:t>Бойовий стрес. Технології корекції та профілактики посттравматичних стресових розладів.</w:t>
            </w:r>
          </w:p>
          <w:p w:rsidR="00CE74C5" w:rsidRPr="00986A23" w:rsidRDefault="00CE74C5" w:rsidP="00986A23">
            <w:pPr>
              <w:pStyle w:val="a5"/>
              <w:shd w:val="clear" w:color="auto" w:fill="FFFFFF"/>
              <w:spacing w:before="0" w:beforeAutospacing="0" w:after="0" w:afterAutospacing="0"/>
              <w:ind w:left="113" w:right="113"/>
              <w:jc w:val="both"/>
              <w:textAlignment w:val="baseline"/>
              <w:rPr>
                <w:b/>
                <w:szCs w:val="21"/>
              </w:rPr>
            </w:pPr>
            <w:r w:rsidRPr="00CE74C5">
              <w:rPr>
                <w:b/>
                <w:szCs w:val="21"/>
              </w:rPr>
              <w:t>Тема 1</w:t>
            </w:r>
            <w:r>
              <w:rPr>
                <w:b/>
                <w:szCs w:val="21"/>
                <w:lang w:val="ru-RU"/>
              </w:rPr>
              <w:t>5</w:t>
            </w:r>
            <w:r w:rsidRPr="00CE74C5">
              <w:rPr>
                <w:b/>
                <w:szCs w:val="21"/>
              </w:rPr>
              <w:t>. Засоби масового ураження.</w:t>
            </w:r>
            <w:r w:rsidR="00986A23">
              <w:rPr>
                <w:b/>
                <w:szCs w:val="21"/>
                <w:lang w:val="ru-RU"/>
              </w:rPr>
              <w:t xml:space="preserve"> </w:t>
            </w:r>
            <w:r w:rsidRPr="00CE74C5">
              <w:rPr>
                <w:szCs w:val="21"/>
              </w:rPr>
              <w:t xml:space="preserve">Аварії на хімічно- та радіаційно-небезпечних об`єктах.   Радіаційні ураження, основи </w:t>
            </w:r>
            <w:proofErr w:type="spellStart"/>
            <w:r w:rsidRPr="00CE74C5">
              <w:rPr>
                <w:szCs w:val="21"/>
              </w:rPr>
              <w:t>домедичної</w:t>
            </w:r>
            <w:proofErr w:type="spellEnd"/>
            <w:r w:rsidRPr="00CE74C5">
              <w:rPr>
                <w:szCs w:val="21"/>
              </w:rPr>
              <w:t xml:space="preserve"> допомоги. Променева хвороба.</w:t>
            </w:r>
          </w:p>
        </w:tc>
      </w:tr>
      <w:tr w:rsidR="00BE089C" w:rsidRPr="009039D2" w:rsidTr="00820B31">
        <w:trPr>
          <w:trHeight w:val="416"/>
        </w:trPr>
        <w:tc>
          <w:tcPr>
            <w:tcW w:w="2905" w:type="dxa"/>
            <w:shd w:val="clear" w:color="auto" w:fill="D9D9D9"/>
          </w:tcPr>
          <w:p w:rsidR="00BE089C" w:rsidRPr="009039D2" w:rsidRDefault="00BE089C" w:rsidP="00820B31">
            <w:pPr>
              <w:pStyle w:val="TableParagraph"/>
              <w:ind w:left="76"/>
              <w:rPr>
                <w:b/>
                <w:bCs/>
                <w:sz w:val="24"/>
              </w:rPr>
            </w:pPr>
            <w:r w:rsidRPr="009039D2">
              <w:rPr>
                <w:b/>
                <w:bCs/>
                <w:sz w:val="24"/>
              </w:rPr>
              <w:lastRenderedPageBreak/>
              <w:t xml:space="preserve">Рекомендована </w:t>
            </w:r>
          </w:p>
          <w:p w:rsidR="00BE089C" w:rsidRPr="009039D2" w:rsidRDefault="00BE089C" w:rsidP="00820B31">
            <w:pPr>
              <w:pStyle w:val="TableParagraph"/>
              <w:ind w:left="76"/>
              <w:rPr>
                <w:b/>
                <w:bCs/>
                <w:sz w:val="24"/>
              </w:rPr>
            </w:pPr>
            <w:r w:rsidRPr="009039D2">
              <w:rPr>
                <w:b/>
                <w:bCs/>
                <w:sz w:val="24"/>
              </w:rPr>
              <w:t>література</w:t>
            </w:r>
          </w:p>
        </w:tc>
        <w:tc>
          <w:tcPr>
            <w:tcW w:w="7299" w:type="dxa"/>
            <w:shd w:val="clear" w:color="auto" w:fill="auto"/>
          </w:tcPr>
          <w:p w:rsidR="00BE089C" w:rsidRPr="009039D2" w:rsidRDefault="00BE089C" w:rsidP="007D0E44">
            <w:pPr>
              <w:tabs>
                <w:tab w:val="left" w:pos="508"/>
              </w:tabs>
              <w:ind w:left="113" w:right="113"/>
              <w:rPr>
                <w:b/>
                <w:sz w:val="24"/>
                <w:szCs w:val="24"/>
              </w:rPr>
            </w:pPr>
            <w:r w:rsidRPr="009039D2">
              <w:rPr>
                <w:b/>
                <w:sz w:val="24"/>
                <w:szCs w:val="24"/>
              </w:rPr>
              <w:t>Основна</w:t>
            </w:r>
          </w:p>
          <w:p w:rsidR="00BE089C" w:rsidRPr="006D660E" w:rsidRDefault="00BE089C" w:rsidP="007D0E44">
            <w:pPr>
              <w:numPr>
                <w:ilvl w:val="0"/>
                <w:numId w:val="1"/>
              </w:numPr>
              <w:tabs>
                <w:tab w:val="left" w:pos="366"/>
                <w:tab w:val="left" w:pos="576"/>
                <w:tab w:val="left" w:pos="3119"/>
              </w:tabs>
              <w:ind w:left="113" w:right="113" w:firstLine="0"/>
              <w:jc w:val="both"/>
              <w:rPr>
                <w:color w:val="000000"/>
                <w:sz w:val="24"/>
                <w:szCs w:val="24"/>
              </w:rPr>
            </w:pPr>
            <w:proofErr w:type="spellStart"/>
            <w:r w:rsidRPr="000E36F8">
              <w:rPr>
                <w:sz w:val="24"/>
                <w:szCs w:val="24"/>
              </w:rPr>
              <w:t>Гищак</w:t>
            </w:r>
            <w:proofErr w:type="spellEnd"/>
            <w:r w:rsidRPr="000E36F8">
              <w:rPr>
                <w:sz w:val="24"/>
                <w:szCs w:val="24"/>
              </w:rPr>
              <w:t xml:space="preserve"> Т.В.</w:t>
            </w:r>
            <w:r w:rsidRPr="00232B83">
              <w:rPr>
                <w:sz w:val="24"/>
                <w:szCs w:val="24"/>
                <w:lang w:val="ru-RU"/>
              </w:rPr>
              <w:t xml:space="preserve"> </w:t>
            </w:r>
            <w:r w:rsidRPr="000E36F8">
              <w:rPr>
                <w:sz w:val="24"/>
                <w:szCs w:val="24"/>
              </w:rPr>
              <w:t xml:space="preserve">Основи медичних знань та медицини катастроф / Т.В. </w:t>
            </w:r>
            <w:proofErr w:type="spellStart"/>
            <w:r w:rsidRPr="000E36F8">
              <w:rPr>
                <w:sz w:val="24"/>
                <w:szCs w:val="24"/>
              </w:rPr>
              <w:t>Гищак</w:t>
            </w:r>
            <w:proofErr w:type="spellEnd"/>
            <w:r w:rsidRPr="000E36F8">
              <w:rPr>
                <w:sz w:val="24"/>
                <w:szCs w:val="24"/>
              </w:rPr>
              <w:t>, О.В. Долинна. – К. : Паливода А.В., 2003. – 140 с</w:t>
            </w:r>
          </w:p>
          <w:p w:rsidR="00BE089C" w:rsidRPr="000E36F8" w:rsidRDefault="00BE089C" w:rsidP="007D0E44">
            <w:pPr>
              <w:numPr>
                <w:ilvl w:val="0"/>
                <w:numId w:val="1"/>
              </w:numPr>
              <w:tabs>
                <w:tab w:val="left" w:pos="366"/>
                <w:tab w:val="left" w:pos="576"/>
                <w:tab w:val="left" w:pos="3119"/>
              </w:tabs>
              <w:ind w:left="113" w:right="113" w:firstLine="0"/>
              <w:jc w:val="both"/>
              <w:rPr>
                <w:b/>
                <w:sz w:val="24"/>
                <w:szCs w:val="24"/>
              </w:rPr>
            </w:pPr>
            <w:r w:rsidRPr="000E36F8">
              <w:rPr>
                <w:sz w:val="24"/>
                <w:szCs w:val="24"/>
              </w:rPr>
              <w:t xml:space="preserve">Приходько І.І. Перша медична допомога: </w:t>
            </w:r>
            <w:proofErr w:type="spellStart"/>
            <w:r w:rsidRPr="000E36F8">
              <w:rPr>
                <w:sz w:val="24"/>
                <w:szCs w:val="24"/>
              </w:rPr>
              <w:t>Навч</w:t>
            </w:r>
            <w:proofErr w:type="spellEnd"/>
            <w:r w:rsidRPr="000E36F8">
              <w:rPr>
                <w:sz w:val="24"/>
                <w:szCs w:val="24"/>
              </w:rPr>
              <w:t xml:space="preserve">. </w:t>
            </w:r>
            <w:proofErr w:type="spellStart"/>
            <w:r w:rsidRPr="000E36F8">
              <w:rPr>
                <w:sz w:val="24"/>
                <w:szCs w:val="24"/>
              </w:rPr>
              <w:t>посіб</w:t>
            </w:r>
            <w:proofErr w:type="spellEnd"/>
            <w:r w:rsidRPr="000E36F8">
              <w:rPr>
                <w:sz w:val="24"/>
                <w:szCs w:val="24"/>
              </w:rPr>
              <w:t>. / МВС України. Акад. внутр. військ МВС України. – Харків: Акад. внутр. військ МВС України, 2006. – 55 с.</w:t>
            </w:r>
          </w:p>
          <w:p w:rsidR="00BE089C" w:rsidRPr="00CE74C5" w:rsidRDefault="00BE089C" w:rsidP="007D0E44">
            <w:pPr>
              <w:numPr>
                <w:ilvl w:val="0"/>
                <w:numId w:val="1"/>
              </w:numPr>
              <w:tabs>
                <w:tab w:val="left" w:pos="366"/>
                <w:tab w:val="left" w:pos="576"/>
                <w:tab w:val="left" w:pos="3119"/>
              </w:tabs>
              <w:ind w:left="113" w:right="113" w:firstLine="0"/>
              <w:jc w:val="both"/>
              <w:rPr>
                <w:color w:val="000000"/>
                <w:sz w:val="24"/>
                <w:szCs w:val="24"/>
              </w:rPr>
            </w:pPr>
            <w:r w:rsidRPr="000E36F8">
              <w:rPr>
                <w:sz w:val="24"/>
                <w:szCs w:val="24"/>
              </w:rPr>
              <w:t xml:space="preserve">Основи медичних знань / О.Ф. Головко, П.Д. Плахтій, В.О. Головко. </w:t>
            </w:r>
            <w:proofErr w:type="spellStart"/>
            <w:r w:rsidRPr="000E36F8">
              <w:rPr>
                <w:sz w:val="24"/>
                <w:szCs w:val="24"/>
              </w:rPr>
              <w:t>Кам'янецьПодільський</w:t>
            </w:r>
            <w:proofErr w:type="spellEnd"/>
            <w:r w:rsidRPr="000E36F8">
              <w:rPr>
                <w:sz w:val="24"/>
                <w:szCs w:val="24"/>
              </w:rPr>
              <w:t xml:space="preserve"> : Аксіома, 2006. – 291 с.</w:t>
            </w:r>
          </w:p>
          <w:p w:rsidR="00CE74C5" w:rsidRPr="000E36F8" w:rsidRDefault="00CE74C5" w:rsidP="007D0E44">
            <w:pPr>
              <w:numPr>
                <w:ilvl w:val="0"/>
                <w:numId w:val="1"/>
              </w:numPr>
              <w:tabs>
                <w:tab w:val="left" w:pos="366"/>
                <w:tab w:val="left" w:pos="576"/>
                <w:tab w:val="left" w:pos="3119"/>
              </w:tabs>
              <w:ind w:left="113" w:right="113" w:firstLine="0"/>
              <w:jc w:val="both"/>
              <w:rPr>
                <w:color w:val="000000"/>
                <w:sz w:val="24"/>
                <w:szCs w:val="24"/>
              </w:rPr>
            </w:pPr>
            <w:proofErr w:type="spellStart"/>
            <w:r w:rsidRPr="00CE74C5">
              <w:rPr>
                <w:color w:val="000000"/>
                <w:sz w:val="24"/>
                <w:szCs w:val="24"/>
              </w:rPr>
              <w:t>Домедична</w:t>
            </w:r>
            <w:proofErr w:type="spellEnd"/>
            <w:r w:rsidRPr="00CE74C5">
              <w:rPr>
                <w:color w:val="000000"/>
                <w:sz w:val="24"/>
                <w:szCs w:val="24"/>
              </w:rPr>
              <w:t xml:space="preserve"> підготовка : </w:t>
            </w:r>
            <w:proofErr w:type="spellStart"/>
            <w:r w:rsidRPr="00CE74C5">
              <w:rPr>
                <w:color w:val="000000"/>
                <w:sz w:val="24"/>
                <w:szCs w:val="24"/>
              </w:rPr>
              <w:t>навч</w:t>
            </w:r>
            <w:proofErr w:type="spellEnd"/>
            <w:r w:rsidRPr="00CE74C5">
              <w:rPr>
                <w:color w:val="000000"/>
                <w:sz w:val="24"/>
                <w:szCs w:val="24"/>
              </w:rPr>
              <w:t xml:space="preserve">. </w:t>
            </w:r>
            <w:proofErr w:type="spellStart"/>
            <w:r w:rsidRPr="00CE74C5">
              <w:rPr>
                <w:color w:val="000000"/>
                <w:sz w:val="24"/>
                <w:szCs w:val="24"/>
              </w:rPr>
              <w:t>Посіб</w:t>
            </w:r>
            <w:proofErr w:type="spellEnd"/>
            <w:r w:rsidRPr="00CE74C5">
              <w:rPr>
                <w:color w:val="000000"/>
                <w:sz w:val="24"/>
                <w:szCs w:val="24"/>
              </w:rPr>
              <w:t xml:space="preserve">. / </w:t>
            </w:r>
            <w:proofErr w:type="spellStart"/>
            <w:r w:rsidRPr="00CE74C5">
              <w:rPr>
                <w:color w:val="000000"/>
                <w:sz w:val="24"/>
                <w:szCs w:val="24"/>
              </w:rPr>
              <w:t>кол</w:t>
            </w:r>
            <w:proofErr w:type="spellEnd"/>
            <w:r w:rsidRPr="00CE74C5">
              <w:rPr>
                <w:color w:val="000000"/>
                <w:sz w:val="24"/>
                <w:szCs w:val="24"/>
              </w:rPr>
              <w:t xml:space="preserve">. </w:t>
            </w:r>
            <w:proofErr w:type="spellStart"/>
            <w:r w:rsidRPr="00CE74C5">
              <w:rPr>
                <w:color w:val="000000"/>
                <w:sz w:val="24"/>
                <w:szCs w:val="24"/>
              </w:rPr>
              <w:t>Авт</w:t>
            </w:r>
            <w:proofErr w:type="spellEnd"/>
            <w:r w:rsidRPr="00CE74C5">
              <w:rPr>
                <w:color w:val="000000"/>
                <w:sz w:val="24"/>
                <w:szCs w:val="24"/>
              </w:rPr>
              <w:t xml:space="preserve">.: В. В. </w:t>
            </w:r>
            <w:proofErr w:type="spellStart"/>
            <w:r w:rsidRPr="00CE74C5">
              <w:rPr>
                <w:color w:val="000000"/>
                <w:sz w:val="24"/>
                <w:szCs w:val="24"/>
              </w:rPr>
              <w:t>Кікінчук</w:t>
            </w:r>
            <w:proofErr w:type="spellEnd"/>
            <w:r w:rsidRPr="00CE74C5">
              <w:rPr>
                <w:color w:val="000000"/>
                <w:sz w:val="24"/>
                <w:szCs w:val="24"/>
              </w:rPr>
              <w:t xml:space="preserve">, С. О. </w:t>
            </w:r>
            <w:proofErr w:type="spellStart"/>
            <w:r w:rsidRPr="00CE74C5">
              <w:rPr>
                <w:color w:val="000000"/>
                <w:sz w:val="24"/>
                <w:szCs w:val="24"/>
              </w:rPr>
              <w:t>Книженко</w:t>
            </w:r>
            <w:proofErr w:type="spellEnd"/>
            <w:r w:rsidRPr="00CE74C5">
              <w:rPr>
                <w:color w:val="000000"/>
                <w:sz w:val="24"/>
                <w:szCs w:val="24"/>
              </w:rPr>
              <w:t xml:space="preserve">, Т. І. Савчук та ін. ; МВС України, Харків. </w:t>
            </w:r>
            <w:proofErr w:type="spellStart"/>
            <w:r w:rsidRPr="00CE74C5">
              <w:rPr>
                <w:color w:val="000000"/>
                <w:sz w:val="24"/>
                <w:szCs w:val="24"/>
              </w:rPr>
              <w:t>Нац</w:t>
            </w:r>
            <w:proofErr w:type="spellEnd"/>
            <w:r w:rsidRPr="00CE74C5">
              <w:rPr>
                <w:color w:val="000000"/>
                <w:sz w:val="24"/>
                <w:szCs w:val="24"/>
              </w:rPr>
              <w:t xml:space="preserve">. Ун-т </w:t>
            </w:r>
            <w:proofErr w:type="spellStart"/>
            <w:r w:rsidRPr="00CE74C5">
              <w:rPr>
                <w:color w:val="000000"/>
                <w:sz w:val="24"/>
                <w:szCs w:val="24"/>
              </w:rPr>
              <w:t>внутр</w:t>
            </w:r>
            <w:proofErr w:type="spellEnd"/>
            <w:r w:rsidRPr="00CE74C5">
              <w:rPr>
                <w:color w:val="000000"/>
                <w:sz w:val="24"/>
                <w:szCs w:val="24"/>
              </w:rPr>
              <w:t>. Справ. – Харків : ХНУВС, 2021. – 176 с.</w:t>
            </w:r>
          </w:p>
          <w:p w:rsidR="00BE089C" w:rsidRPr="009039D2" w:rsidRDefault="00BE089C" w:rsidP="007D0E44">
            <w:pPr>
              <w:tabs>
                <w:tab w:val="left" w:pos="366"/>
                <w:tab w:val="left" w:pos="576"/>
              </w:tabs>
              <w:ind w:left="113" w:right="113"/>
              <w:jc w:val="both"/>
              <w:rPr>
                <w:b/>
                <w:sz w:val="24"/>
                <w:szCs w:val="24"/>
              </w:rPr>
            </w:pPr>
            <w:r w:rsidRPr="009039D2">
              <w:rPr>
                <w:b/>
                <w:sz w:val="24"/>
                <w:szCs w:val="24"/>
              </w:rPr>
              <w:t>Додаткова</w:t>
            </w:r>
          </w:p>
          <w:p w:rsidR="00BE089C" w:rsidRPr="000E36F8" w:rsidRDefault="00BE089C" w:rsidP="007D0E44">
            <w:pPr>
              <w:numPr>
                <w:ilvl w:val="0"/>
                <w:numId w:val="1"/>
              </w:numPr>
              <w:tabs>
                <w:tab w:val="left" w:pos="366"/>
                <w:tab w:val="left" w:pos="576"/>
                <w:tab w:val="left" w:pos="3119"/>
              </w:tabs>
              <w:ind w:left="113" w:right="113" w:firstLine="0"/>
              <w:jc w:val="both"/>
              <w:rPr>
                <w:b/>
                <w:sz w:val="24"/>
                <w:szCs w:val="24"/>
              </w:rPr>
            </w:pPr>
            <w:proofErr w:type="spellStart"/>
            <w:r w:rsidRPr="000E36F8">
              <w:rPr>
                <w:sz w:val="24"/>
                <w:szCs w:val="24"/>
              </w:rPr>
              <w:t>Валецька</w:t>
            </w:r>
            <w:proofErr w:type="spellEnd"/>
            <w:r w:rsidRPr="000E36F8">
              <w:rPr>
                <w:sz w:val="24"/>
                <w:szCs w:val="24"/>
              </w:rPr>
              <w:t xml:space="preserve"> Р.О. Основи медичних знань/Р.О. </w:t>
            </w:r>
            <w:proofErr w:type="spellStart"/>
            <w:r w:rsidRPr="000E36F8">
              <w:rPr>
                <w:sz w:val="24"/>
                <w:szCs w:val="24"/>
              </w:rPr>
              <w:t>Валецька</w:t>
            </w:r>
            <w:proofErr w:type="spellEnd"/>
            <w:r w:rsidRPr="000E36F8">
              <w:rPr>
                <w:sz w:val="24"/>
                <w:szCs w:val="24"/>
              </w:rPr>
              <w:t>.-</w:t>
            </w:r>
            <w:proofErr w:type="spellStart"/>
            <w:r w:rsidRPr="000E36F8">
              <w:rPr>
                <w:sz w:val="24"/>
                <w:szCs w:val="24"/>
              </w:rPr>
              <w:t>Луцьк:Волинськ</w:t>
            </w:r>
            <w:proofErr w:type="spellEnd"/>
            <w:r w:rsidRPr="000E36F8">
              <w:rPr>
                <w:sz w:val="24"/>
                <w:szCs w:val="24"/>
              </w:rPr>
              <w:t xml:space="preserve"> обл. друкарня, 2008.-224 с.</w:t>
            </w:r>
          </w:p>
          <w:p w:rsidR="00BE089C" w:rsidRPr="000E36F8" w:rsidRDefault="00BE089C" w:rsidP="007D0E44">
            <w:pPr>
              <w:numPr>
                <w:ilvl w:val="0"/>
                <w:numId w:val="1"/>
              </w:numPr>
              <w:tabs>
                <w:tab w:val="left" w:pos="366"/>
                <w:tab w:val="left" w:pos="576"/>
                <w:tab w:val="left" w:pos="3119"/>
              </w:tabs>
              <w:ind w:left="113" w:right="113" w:firstLine="0"/>
              <w:jc w:val="both"/>
              <w:rPr>
                <w:b/>
                <w:sz w:val="24"/>
                <w:szCs w:val="24"/>
              </w:rPr>
            </w:pPr>
            <w:r w:rsidRPr="000E36F8">
              <w:rPr>
                <w:sz w:val="24"/>
                <w:szCs w:val="24"/>
              </w:rPr>
              <w:t xml:space="preserve">Перша </w:t>
            </w:r>
            <w:proofErr w:type="spellStart"/>
            <w:r>
              <w:rPr>
                <w:sz w:val="24"/>
                <w:szCs w:val="24"/>
              </w:rPr>
              <w:t>домедична</w:t>
            </w:r>
            <w:proofErr w:type="spellEnd"/>
            <w:r w:rsidRPr="000E36F8">
              <w:rPr>
                <w:sz w:val="24"/>
                <w:szCs w:val="24"/>
              </w:rPr>
              <w:t xml:space="preserve"> допомога / О.М. Кіт, О.Л. Ковальчук, І.С. </w:t>
            </w:r>
            <w:proofErr w:type="spellStart"/>
            <w:r w:rsidRPr="000E36F8">
              <w:rPr>
                <w:sz w:val="24"/>
                <w:szCs w:val="24"/>
              </w:rPr>
              <w:t>Вардинець</w:t>
            </w:r>
            <w:proofErr w:type="spellEnd"/>
            <w:r w:rsidRPr="000E36F8">
              <w:rPr>
                <w:sz w:val="24"/>
                <w:szCs w:val="24"/>
              </w:rPr>
              <w:t xml:space="preserve">, А.О. Боб. – Т. : ТДМУ: </w:t>
            </w:r>
            <w:proofErr w:type="spellStart"/>
            <w:r w:rsidRPr="000E36F8">
              <w:rPr>
                <w:sz w:val="24"/>
                <w:szCs w:val="24"/>
              </w:rPr>
              <w:t>Укрмедкн</w:t>
            </w:r>
            <w:proofErr w:type="spellEnd"/>
            <w:r w:rsidRPr="000E36F8">
              <w:rPr>
                <w:sz w:val="24"/>
                <w:szCs w:val="24"/>
              </w:rPr>
              <w:t>., 2008. – 335 c</w:t>
            </w:r>
          </w:p>
          <w:p w:rsidR="00BE089C" w:rsidRPr="009039D2" w:rsidRDefault="00BE089C" w:rsidP="007D0E44">
            <w:pPr>
              <w:tabs>
                <w:tab w:val="left" w:pos="366"/>
                <w:tab w:val="left" w:pos="576"/>
                <w:tab w:val="left" w:pos="3119"/>
              </w:tabs>
              <w:ind w:left="113" w:right="113"/>
              <w:jc w:val="both"/>
              <w:rPr>
                <w:b/>
                <w:sz w:val="24"/>
                <w:szCs w:val="24"/>
              </w:rPr>
            </w:pPr>
            <w:r w:rsidRPr="009039D2">
              <w:rPr>
                <w:b/>
                <w:sz w:val="24"/>
                <w:szCs w:val="24"/>
              </w:rPr>
              <w:t>Інтернет-ресурси</w:t>
            </w:r>
          </w:p>
          <w:p w:rsidR="00BE089C" w:rsidRPr="004F0AD1" w:rsidRDefault="00BE089C" w:rsidP="007D0E44">
            <w:pPr>
              <w:numPr>
                <w:ilvl w:val="0"/>
                <w:numId w:val="1"/>
              </w:numPr>
              <w:tabs>
                <w:tab w:val="left" w:pos="366"/>
                <w:tab w:val="left" w:pos="576"/>
              </w:tabs>
              <w:ind w:left="113" w:right="113" w:firstLine="0"/>
              <w:jc w:val="both"/>
              <w:outlineLvl w:val="0"/>
              <w:rPr>
                <w:b/>
                <w:bCs/>
                <w:sz w:val="24"/>
              </w:rPr>
            </w:pPr>
            <w:r>
              <w:rPr>
                <w:color w:val="000000"/>
                <w:sz w:val="21"/>
                <w:szCs w:val="21"/>
                <w:shd w:val="clear" w:color="auto" w:fill="FFFFFF"/>
              </w:rPr>
              <w:t xml:space="preserve">Про затвердження порядків надання </w:t>
            </w:r>
            <w:proofErr w:type="spellStart"/>
            <w:r>
              <w:rPr>
                <w:color w:val="000000"/>
                <w:sz w:val="21"/>
                <w:szCs w:val="21"/>
                <w:shd w:val="clear" w:color="auto" w:fill="FFFFFF"/>
              </w:rPr>
              <w:t>домедичної</w:t>
            </w:r>
            <w:proofErr w:type="spellEnd"/>
            <w:r>
              <w:rPr>
                <w:color w:val="000000"/>
                <w:sz w:val="21"/>
                <w:szCs w:val="21"/>
                <w:shd w:val="clear" w:color="auto" w:fill="FFFFFF"/>
              </w:rPr>
              <w:t xml:space="preserve"> допомоги особам при невідкладних станах [Електронний ресурс] // Наказ. Міністерство охорони здоров’я України. – 2014. – Режим доступу до ресурсу: </w:t>
            </w:r>
            <w:hyperlink r:id="rId6" w:anchor="Text" w:history="1">
              <w:r w:rsidRPr="008D5C78">
                <w:rPr>
                  <w:rStyle w:val="a7"/>
                  <w:sz w:val="21"/>
                  <w:szCs w:val="21"/>
                  <w:shd w:val="clear" w:color="auto" w:fill="FFFFFF"/>
                </w:rPr>
                <w:t>https://zakon.rada.gov.ua/laws/show/z0750-14#Text</w:t>
              </w:r>
            </w:hyperlink>
            <w:r>
              <w:rPr>
                <w:color w:val="000000"/>
                <w:sz w:val="21"/>
                <w:szCs w:val="21"/>
                <w:shd w:val="clear" w:color="auto" w:fill="FFFFFF"/>
              </w:rPr>
              <w:t>.</w:t>
            </w:r>
          </w:p>
          <w:p w:rsidR="00BE089C" w:rsidRPr="004F0AD1" w:rsidRDefault="00BE089C" w:rsidP="007D0E44">
            <w:pPr>
              <w:numPr>
                <w:ilvl w:val="0"/>
                <w:numId w:val="1"/>
              </w:numPr>
              <w:tabs>
                <w:tab w:val="left" w:pos="366"/>
                <w:tab w:val="left" w:pos="576"/>
              </w:tabs>
              <w:ind w:left="113" w:right="113" w:firstLine="0"/>
              <w:jc w:val="both"/>
              <w:outlineLvl w:val="0"/>
              <w:rPr>
                <w:b/>
                <w:bCs/>
                <w:sz w:val="24"/>
              </w:rPr>
            </w:pPr>
            <w:r>
              <w:rPr>
                <w:color w:val="000000"/>
                <w:sz w:val="21"/>
                <w:szCs w:val="21"/>
                <w:shd w:val="clear" w:color="auto" w:fill="FFFFFF"/>
              </w:rPr>
              <w:t xml:space="preserve">Порядок надання </w:t>
            </w:r>
            <w:proofErr w:type="spellStart"/>
            <w:r>
              <w:rPr>
                <w:color w:val="000000"/>
                <w:sz w:val="21"/>
                <w:szCs w:val="21"/>
                <w:shd w:val="clear" w:color="auto" w:fill="FFFFFF"/>
              </w:rPr>
              <w:t>домедичної</w:t>
            </w:r>
            <w:proofErr w:type="spellEnd"/>
            <w:r>
              <w:rPr>
                <w:color w:val="000000"/>
                <w:sz w:val="21"/>
                <w:szCs w:val="21"/>
                <w:shd w:val="clear" w:color="auto" w:fill="FFFFFF"/>
              </w:rPr>
              <w:t xml:space="preserve"> допомоги постраждалим при травматичній ампутації [Електронний ресурс] // Наказ. Міністерство охорони здоров’я України. – 2014. – Режим доступу до ресурсу: </w:t>
            </w:r>
            <w:hyperlink r:id="rId7" w:anchor="n2" w:history="1">
              <w:r w:rsidRPr="008D5C78">
                <w:rPr>
                  <w:rStyle w:val="a7"/>
                  <w:sz w:val="21"/>
                  <w:szCs w:val="21"/>
                  <w:shd w:val="clear" w:color="auto" w:fill="FFFFFF"/>
                </w:rPr>
                <w:t>https://zakon.rada.gov.ua/laws/show/z0760-14#n2</w:t>
              </w:r>
            </w:hyperlink>
            <w:r>
              <w:rPr>
                <w:color w:val="000000"/>
                <w:sz w:val="21"/>
                <w:szCs w:val="21"/>
                <w:shd w:val="clear" w:color="auto" w:fill="FFFFFF"/>
              </w:rPr>
              <w:t>.</w:t>
            </w:r>
          </w:p>
          <w:p w:rsidR="00BE089C" w:rsidRPr="004F0AD1" w:rsidRDefault="00BE089C" w:rsidP="007D0E44">
            <w:pPr>
              <w:numPr>
                <w:ilvl w:val="0"/>
                <w:numId w:val="1"/>
              </w:numPr>
              <w:tabs>
                <w:tab w:val="left" w:pos="366"/>
                <w:tab w:val="left" w:pos="576"/>
              </w:tabs>
              <w:ind w:left="113" w:right="113" w:firstLine="0"/>
              <w:jc w:val="both"/>
              <w:outlineLvl w:val="0"/>
              <w:rPr>
                <w:b/>
                <w:bCs/>
                <w:sz w:val="24"/>
              </w:rPr>
            </w:pPr>
            <w:r>
              <w:rPr>
                <w:color w:val="000000"/>
                <w:sz w:val="21"/>
                <w:szCs w:val="21"/>
                <w:shd w:val="clear" w:color="auto" w:fill="FFFFFF"/>
              </w:rPr>
              <w:t xml:space="preserve">Порядок надання </w:t>
            </w:r>
            <w:proofErr w:type="spellStart"/>
            <w:r>
              <w:rPr>
                <w:color w:val="000000"/>
                <w:sz w:val="21"/>
                <w:szCs w:val="21"/>
                <w:shd w:val="clear" w:color="auto" w:fill="FFFFFF"/>
              </w:rPr>
              <w:t>домедичної</w:t>
            </w:r>
            <w:proofErr w:type="spellEnd"/>
            <w:r>
              <w:rPr>
                <w:color w:val="000000"/>
                <w:sz w:val="21"/>
                <w:szCs w:val="21"/>
                <w:shd w:val="clear" w:color="auto" w:fill="FFFFFF"/>
              </w:rPr>
              <w:t xml:space="preserve"> допомоги постраждалим при укусах тварин та комах [Електронний ресурс] // Наказ. Міністерство охорони здоров’я України. – 2014. – Режим доступу до ресурсу: </w:t>
            </w:r>
            <w:hyperlink r:id="rId8" w:anchor="n2" w:history="1">
              <w:r w:rsidRPr="008D5C78">
                <w:rPr>
                  <w:rStyle w:val="a7"/>
                  <w:sz w:val="21"/>
                  <w:szCs w:val="21"/>
                  <w:shd w:val="clear" w:color="auto" w:fill="FFFFFF"/>
                </w:rPr>
                <w:t>https://zakon.rada.gov.ua/laws/show/z0772-14#n2</w:t>
              </w:r>
            </w:hyperlink>
            <w:r>
              <w:rPr>
                <w:color w:val="000000"/>
                <w:sz w:val="21"/>
                <w:szCs w:val="21"/>
                <w:shd w:val="clear" w:color="auto" w:fill="FFFFFF"/>
              </w:rPr>
              <w:t>.</w:t>
            </w:r>
          </w:p>
          <w:p w:rsidR="00BE089C" w:rsidRPr="004F0AD1" w:rsidRDefault="00BE089C" w:rsidP="007D0E44">
            <w:pPr>
              <w:numPr>
                <w:ilvl w:val="0"/>
                <w:numId w:val="1"/>
              </w:numPr>
              <w:tabs>
                <w:tab w:val="left" w:pos="366"/>
                <w:tab w:val="left" w:pos="576"/>
              </w:tabs>
              <w:ind w:left="113" w:right="113" w:firstLine="0"/>
              <w:jc w:val="both"/>
              <w:outlineLvl w:val="0"/>
              <w:rPr>
                <w:b/>
                <w:bCs/>
                <w:sz w:val="24"/>
              </w:rPr>
            </w:pPr>
            <w:r>
              <w:rPr>
                <w:color w:val="000000"/>
                <w:sz w:val="21"/>
                <w:szCs w:val="21"/>
                <w:shd w:val="clear" w:color="auto" w:fill="FFFFFF"/>
              </w:rPr>
              <w:t xml:space="preserve">Порядок надання </w:t>
            </w:r>
            <w:proofErr w:type="spellStart"/>
            <w:r>
              <w:rPr>
                <w:color w:val="000000"/>
                <w:sz w:val="21"/>
                <w:szCs w:val="21"/>
                <w:shd w:val="clear" w:color="auto" w:fill="FFFFFF"/>
              </w:rPr>
              <w:t>домедичної</w:t>
            </w:r>
            <w:proofErr w:type="spellEnd"/>
            <w:r>
              <w:rPr>
                <w:color w:val="000000"/>
                <w:sz w:val="21"/>
                <w:szCs w:val="21"/>
                <w:shd w:val="clear" w:color="auto" w:fill="FFFFFF"/>
              </w:rPr>
              <w:t xml:space="preserve"> допомоги постраждалим при ураженні електричним струмом та блискавкою [Електронний ресурс] // Наказ. Міністерство охорони здоров’я України. – 2014. – Режим доступу до ресурсу: </w:t>
            </w:r>
            <w:hyperlink r:id="rId9" w:anchor="n2" w:history="1">
              <w:r w:rsidRPr="008D5C78">
                <w:rPr>
                  <w:rStyle w:val="a7"/>
                  <w:sz w:val="21"/>
                  <w:szCs w:val="21"/>
                  <w:shd w:val="clear" w:color="auto" w:fill="FFFFFF"/>
                </w:rPr>
                <w:t>https://zakon.rada.gov.ua/laws/show/z0775-14#n2</w:t>
              </w:r>
            </w:hyperlink>
            <w:r>
              <w:rPr>
                <w:color w:val="000000"/>
                <w:sz w:val="21"/>
                <w:szCs w:val="21"/>
                <w:shd w:val="clear" w:color="auto" w:fill="FFFFFF"/>
              </w:rPr>
              <w:t>.</w:t>
            </w:r>
          </w:p>
          <w:p w:rsidR="00BE089C" w:rsidRPr="004F0AD1" w:rsidRDefault="00BE089C" w:rsidP="007D0E44">
            <w:pPr>
              <w:numPr>
                <w:ilvl w:val="0"/>
                <w:numId w:val="1"/>
              </w:numPr>
              <w:tabs>
                <w:tab w:val="left" w:pos="366"/>
                <w:tab w:val="left" w:pos="576"/>
              </w:tabs>
              <w:ind w:left="113" w:right="113" w:firstLine="0"/>
              <w:jc w:val="both"/>
              <w:outlineLvl w:val="0"/>
              <w:rPr>
                <w:b/>
                <w:bCs/>
                <w:sz w:val="24"/>
              </w:rPr>
            </w:pPr>
            <w:r>
              <w:rPr>
                <w:color w:val="000000"/>
                <w:sz w:val="21"/>
                <w:szCs w:val="21"/>
                <w:shd w:val="clear" w:color="auto" w:fill="FFFFFF"/>
              </w:rPr>
              <w:t xml:space="preserve">Порядок надання </w:t>
            </w:r>
            <w:proofErr w:type="spellStart"/>
            <w:r>
              <w:rPr>
                <w:color w:val="000000"/>
                <w:sz w:val="21"/>
                <w:szCs w:val="21"/>
                <w:shd w:val="clear" w:color="auto" w:fill="FFFFFF"/>
              </w:rPr>
              <w:t>домедичної</w:t>
            </w:r>
            <w:proofErr w:type="spellEnd"/>
            <w:r>
              <w:rPr>
                <w:color w:val="000000"/>
                <w:sz w:val="21"/>
                <w:szCs w:val="21"/>
                <w:shd w:val="clear" w:color="auto" w:fill="FFFFFF"/>
              </w:rPr>
              <w:t xml:space="preserve"> допомоги постраждалим при рані кінцівки, в тому числі ускладненій кровотечею [Електронний ресурс] // Наказ. Міністерство охорони здоров’я України. – 2014. – Режим доступу до ресурсу: </w:t>
            </w:r>
            <w:hyperlink r:id="rId10" w:anchor="n2" w:history="1">
              <w:r w:rsidRPr="008D5C78">
                <w:rPr>
                  <w:rStyle w:val="a7"/>
                  <w:sz w:val="21"/>
                  <w:szCs w:val="21"/>
                  <w:shd w:val="clear" w:color="auto" w:fill="FFFFFF"/>
                </w:rPr>
                <w:t>https://zakon.rada.gov.ua/laws/show/z0759-14#n2</w:t>
              </w:r>
            </w:hyperlink>
            <w:r>
              <w:rPr>
                <w:color w:val="000000"/>
                <w:sz w:val="21"/>
                <w:szCs w:val="21"/>
                <w:shd w:val="clear" w:color="auto" w:fill="FFFFFF"/>
              </w:rPr>
              <w:t>.</w:t>
            </w:r>
          </w:p>
          <w:p w:rsidR="00BE089C" w:rsidRPr="008D5C78" w:rsidRDefault="00BE089C" w:rsidP="007D0E44">
            <w:pPr>
              <w:numPr>
                <w:ilvl w:val="0"/>
                <w:numId w:val="1"/>
              </w:numPr>
              <w:tabs>
                <w:tab w:val="left" w:pos="366"/>
                <w:tab w:val="left" w:pos="576"/>
              </w:tabs>
              <w:ind w:left="113" w:right="113" w:firstLine="0"/>
              <w:jc w:val="both"/>
              <w:outlineLvl w:val="0"/>
              <w:rPr>
                <w:b/>
                <w:bCs/>
                <w:sz w:val="24"/>
              </w:rPr>
            </w:pPr>
            <w:r>
              <w:rPr>
                <w:color w:val="000000"/>
                <w:sz w:val="21"/>
                <w:szCs w:val="21"/>
                <w:shd w:val="clear" w:color="auto" w:fill="FFFFFF"/>
              </w:rPr>
              <w:t xml:space="preserve">Порядок надання </w:t>
            </w:r>
            <w:proofErr w:type="spellStart"/>
            <w:r>
              <w:rPr>
                <w:color w:val="000000"/>
                <w:sz w:val="21"/>
                <w:szCs w:val="21"/>
                <w:shd w:val="clear" w:color="auto" w:fill="FFFFFF"/>
              </w:rPr>
              <w:t>домедичної</w:t>
            </w:r>
            <w:proofErr w:type="spellEnd"/>
            <w:r>
              <w:rPr>
                <w:color w:val="000000"/>
                <w:sz w:val="21"/>
                <w:szCs w:val="21"/>
                <w:shd w:val="clear" w:color="auto" w:fill="FFFFFF"/>
              </w:rPr>
              <w:t xml:space="preserve"> допомоги постраждалим при підозрі на пошкодження живота [Електронний ресурс] // Наказ. Міністерство охорони здоров’я України. – 2014. – Режим доступу до ресурсу: </w:t>
            </w:r>
            <w:hyperlink r:id="rId11" w:anchor="n2" w:history="1">
              <w:r w:rsidRPr="008D5C78">
                <w:rPr>
                  <w:rStyle w:val="a7"/>
                  <w:sz w:val="21"/>
                  <w:szCs w:val="21"/>
                  <w:shd w:val="clear" w:color="auto" w:fill="FFFFFF"/>
                </w:rPr>
                <w:t>https://zakon.rada.gov.ua/laws/show/z0755-14#n2</w:t>
              </w:r>
            </w:hyperlink>
            <w:r>
              <w:rPr>
                <w:color w:val="000000"/>
                <w:sz w:val="21"/>
                <w:szCs w:val="21"/>
                <w:shd w:val="clear" w:color="auto" w:fill="FFFFFF"/>
              </w:rPr>
              <w:t>.</w:t>
            </w:r>
          </w:p>
          <w:p w:rsidR="00BE089C" w:rsidRPr="009039D2" w:rsidRDefault="00BE089C" w:rsidP="007D0E44">
            <w:pPr>
              <w:numPr>
                <w:ilvl w:val="0"/>
                <w:numId w:val="1"/>
              </w:numPr>
              <w:tabs>
                <w:tab w:val="left" w:pos="366"/>
                <w:tab w:val="left" w:pos="576"/>
              </w:tabs>
              <w:ind w:left="113" w:right="113" w:firstLine="0"/>
              <w:jc w:val="both"/>
              <w:outlineLvl w:val="0"/>
              <w:rPr>
                <w:b/>
                <w:bCs/>
                <w:sz w:val="24"/>
              </w:rPr>
            </w:pPr>
            <w:r>
              <w:rPr>
                <w:color w:val="000000"/>
                <w:sz w:val="21"/>
                <w:szCs w:val="21"/>
                <w:shd w:val="clear" w:color="auto" w:fill="FFFFFF"/>
              </w:rPr>
              <w:t xml:space="preserve">ПОРЯДОК надання </w:t>
            </w:r>
            <w:proofErr w:type="spellStart"/>
            <w:r>
              <w:rPr>
                <w:color w:val="000000"/>
                <w:sz w:val="21"/>
                <w:szCs w:val="21"/>
                <w:shd w:val="clear" w:color="auto" w:fill="FFFFFF"/>
              </w:rPr>
              <w:t>домедичної</w:t>
            </w:r>
            <w:proofErr w:type="spellEnd"/>
            <w:r>
              <w:rPr>
                <w:color w:val="000000"/>
                <w:sz w:val="21"/>
                <w:szCs w:val="21"/>
                <w:shd w:val="clear" w:color="auto" w:fill="FFFFFF"/>
              </w:rPr>
              <w:t xml:space="preserve"> допомоги постраждалим при підозрі на шок. [Електронний ресурс] // Наказ. Міністерство охорони здоров’я України.– 2014. – Режим доступу до ресурсу: </w:t>
            </w:r>
            <w:hyperlink r:id="rId12" w:anchor="n2" w:history="1">
              <w:r w:rsidRPr="008D5C78">
                <w:rPr>
                  <w:rStyle w:val="a7"/>
                  <w:sz w:val="21"/>
                  <w:szCs w:val="21"/>
                  <w:shd w:val="clear" w:color="auto" w:fill="FFFFFF"/>
                </w:rPr>
                <w:t>https://zakon.rada.gov.ua/laws/show/z0762-14#n2</w:t>
              </w:r>
            </w:hyperlink>
            <w:r>
              <w:rPr>
                <w:color w:val="000000"/>
                <w:sz w:val="21"/>
                <w:szCs w:val="21"/>
                <w:shd w:val="clear" w:color="auto" w:fill="FFFFFF"/>
              </w:rPr>
              <w:t>.</w:t>
            </w:r>
          </w:p>
        </w:tc>
      </w:tr>
      <w:tr w:rsidR="00BE089C" w:rsidRPr="009039D2" w:rsidTr="00820B31">
        <w:trPr>
          <w:trHeight w:val="907"/>
        </w:trPr>
        <w:tc>
          <w:tcPr>
            <w:tcW w:w="2905" w:type="dxa"/>
            <w:shd w:val="clear" w:color="auto" w:fill="D9D9D9"/>
          </w:tcPr>
          <w:p w:rsidR="00BE089C" w:rsidRPr="009039D2" w:rsidRDefault="00BE089C" w:rsidP="00820B31">
            <w:pPr>
              <w:pStyle w:val="TableParagraph"/>
              <w:ind w:left="76"/>
              <w:rPr>
                <w:b/>
                <w:bCs/>
                <w:sz w:val="24"/>
              </w:rPr>
            </w:pPr>
            <w:r w:rsidRPr="009039D2">
              <w:rPr>
                <w:b/>
                <w:bCs/>
                <w:sz w:val="24"/>
              </w:rPr>
              <w:t>Види занять, методи  і форми навчання</w:t>
            </w:r>
          </w:p>
        </w:tc>
        <w:tc>
          <w:tcPr>
            <w:tcW w:w="7299" w:type="dxa"/>
            <w:shd w:val="clear" w:color="auto" w:fill="auto"/>
          </w:tcPr>
          <w:p w:rsidR="00BE089C" w:rsidRPr="00FE3B00" w:rsidRDefault="00BE089C" w:rsidP="007D0E44">
            <w:pPr>
              <w:suppressAutoHyphens/>
              <w:ind w:left="113" w:right="113"/>
              <w:jc w:val="both"/>
              <w:rPr>
                <w:bCs/>
                <w:sz w:val="24"/>
                <w:szCs w:val="24"/>
              </w:rPr>
            </w:pPr>
            <w:r w:rsidRPr="00FE3B00">
              <w:rPr>
                <w:bCs/>
                <w:sz w:val="24"/>
                <w:szCs w:val="24"/>
              </w:rPr>
              <w:t>Форми організації освітнього процесу: лекції, практичні заняття,  семінари, дослідницькі роботи, самостійна робота, консультації зі викладачами, участь у наукових конференціях, екскурсії, дистанційне навчання.</w:t>
            </w:r>
          </w:p>
          <w:p w:rsidR="00BE089C" w:rsidRPr="009039D2" w:rsidRDefault="00BE089C" w:rsidP="007D0E44">
            <w:pPr>
              <w:suppressAutoHyphens/>
              <w:ind w:left="113" w:right="113"/>
              <w:jc w:val="both"/>
              <w:rPr>
                <w:b/>
                <w:bCs/>
                <w:sz w:val="24"/>
                <w:szCs w:val="24"/>
              </w:rPr>
            </w:pPr>
            <w:r w:rsidRPr="00FE3B00">
              <w:rPr>
                <w:bCs/>
                <w:sz w:val="24"/>
                <w:szCs w:val="24"/>
              </w:rPr>
              <w:t>Освітні технології: традиційні, інтерактивні, інформаційно-</w:t>
            </w:r>
            <w:r w:rsidRPr="00FE3B00">
              <w:rPr>
                <w:bCs/>
                <w:sz w:val="24"/>
                <w:szCs w:val="24"/>
              </w:rPr>
              <w:lastRenderedPageBreak/>
              <w:t>комунікативні, проектного навчання.</w:t>
            </w:r>
          </w:p>
        </w:tc>
      </w:tr>
      <w:tr w:rsidR="00BE089C" w:rsidRPr="009039D2" w:rsidTr="00820B31">
        <w:trPr>
          <w:trHeight w:val="517"/>
        </w:trPr>
        <w:tc>
          <w:tcPr>
            <w:tcW w:w="2905" w:type="dxa"/>
            <w:shd w:val="clear" w:color="auto" w:fill="D9D9D9"/>
          </w:tcPr>
          <w:p w:rsidR="00BE089C" w:rsidRPr="009039D2" w:rsidRDefault="00BE089C" w:rsidP="00820B31">
            <w:pPr>
              <w:pStyle w:val="TableParagraph"/>
              <w:ind w:left="76"/>
              <w:rPr>
                <w:b/>
                <w:sz w:val="24"/>
              </w:rPr>
            </w:pPr>
            <w:proofErr w:type="spellStart"/>
            <w:r w:rsidRPr="009039D2">
              <w:rPr>
                <w:b/>
                <w:sz w:val="24"/>
              </w:rPr>
              <w:lastRenderedPageBreak/>
              <w:t>Пререквізити</w:t>
            </w:r>
            <w:proofErr w:type="spellEnd"/>
          </w:p>
        </w:tc>
        <w:tc>
          <w:tcPr>
            <w:tcW w:w="7299" w:type="dxa"/>
            <w:shd w:val="clear" w:color="auto" w:fill="auto"/>
          </w:tcPr>
          <w:p w:rsidR="00BE089C" w:rsidRPr="009039D2" w:rsidRDefault="00BE089C" w:rsidP="007D0E44">
            <w:pPr>
              <w:pStyle w:val="TableParagraph"/>
              <w:spacing w:line="275" w:lineRule="exact"/>
              <w:ind w:left="113" w:right="113"/>
              <w:rPr>
                <w:sz w:val="24"/>
              </w:rPr>
            </w:pPr>
            <w:r w:rsidRPr="009039D2">
              <w:rPr>
                <w:sz w:val="24"/>
              </w:rPr>
              <w:t>Дисциплін</w:t>
            </w:r>
            <w:r>
              <w:rPr>
                <w:sz w:val="24"/>
              </w:rPr>
              <w:t>и</w:t>
            </w:r>
            <w:r w:rsidRPr="009039D2">
              <w:rPr>
                <w:sz w:val="24"/>
              </w:rPr>
              <w:t xml:space="preserve"> «Біологія і екологія»</w:t>
            </w:r>
            <w:r>
              <w:rPr>
                <w:sz w:val="24"/>
              </w:rPr>
              <w:t>,</w:t>
            </w:r>
            <w:r>
              <w:t xml:space="preserve"> </w:t>
            </w:r>
            <w:r w:rsidRPr="00E02FBB">
              <w:rPr>
                <w:sz w:val="24"/>
              </w:rPr>
              <w:t>«</w:t>
            </w:r>
            <w:r>
              <w:rPr>
                <w:sz w:val="24"/>
              </w:rPr>
              <w:t>Хімія», «Захист України».</w:t>
            </w:r>
          </w:p>
        </w:tc>
      </w:tr>
      <w:tr w:rsidR="00BE089C" w:rsidRPr="009039D2" w:rsidTr="00820B31">
        <w:trPr>
          <w:trHeight w:val="694"/>
        </w:trPr>
        <w:tc>
          <w:tcPr>
            <w:tcW w:w="2905" w:type="dxa"/>
            <w:shd w:val="clear" w:color="auto" w:fill="D9D9D9"/>
          </w:tcPr>
          <w:p w:rsidR="00BE089C" w:rsidRPr="009039D2" w:rsidRDefault="00BE089C" w:rsidP="00820B31">
            <w:pPr>
              <w:pStyle w:val="TableParagraph"/>
              <w:ind w:left="76"/>
              <w:rPr>
                <w:b/>
                <w:sz w:val="24"/>
              </w:rPr>
            </w:pPr>
            <w:proofErr w:type="spellStart"/>
            <w:r w:rsidRPr="009039D2">
              <w:rPr>
                <w:b/>
                <w:sz w:val="24"/>
              </w:rPr>
              <w:t>Постреквізити</w:t>
            </w:r>
            <w:proofErr w:type="spellEnd"/>
          </w:p>
        </w:tc>
        <w:tc>
          <w:tcPr>
            <w:tcW w:w="7299" w:type="dxa"/>
            <w:shd w:val="clear" w:color="auto" w:fill="auto"/>
          </w:tcPr>
          <w:p w:rsidR="00BE089C" w:rsidRPr="009F1ECD" w:rsidRDefault="00BE089C" w:rsidP="007D0E44">
            <w:pPr>
              <w:pStyle w:val="TableParagraph"/>
              <w:spacing w:line="242" w:lineRule="auto"/>
              <w:ind w:left="113" w:right="113"/>
              <w:rPr>
                <w:sz w:val="24"/>
              </w:rPr>
            </w:pPr>
            <w:r w:rsidRPr="009039D2">
              <w:rPr>
                <w:sz w:val="24"/>
              </w:rPr>
              <w:t>Дисциплін</w:t>
            </w:r>
            <w:r>
              <w:rPr>
                <w:sz w:val="24"/>
              </w:rPr>
              <w:t>и</w:t>
            </w:r>
            <w:r w:rsidRPr="009039D2">
              <w:rPr>
                <w:sz w:val="24"/>
              </w:rPr>
              <w:t xml:space="preserve"> «</w:t>
            </w:r>
            <w:r>
              <w:rPr>
                <w:sz w:val="24"/>
              </w:rPr>
              <w:t>Безпека життєдіяльності</w:t>
            </w:r>
            <w:r w:rsidRPr="009039D2">
              <w:rPr>
                <w:color w:val="000000"/>
                <w:sz w:val="24"/>
                <w:szCs w:val="24"/>
              </w:rPr>
              <w:t>»</w:t>
            </w:r>
            <w:r>
              <w:rPr>
                <w:color w:val="000000"/>
                <w:sz w:val="24"/>
                <w:szCs w:val="24"/>
              </w:rPr>
              <w:t>,</w:t>
            </w:r>
            <w:r w:rsidRPr="009039D2">
              <w:rPr>
                <w:color w:val="000000"/>
                <w:sz w:val="24"/>
                <w:szCs w:val="24"/>
              </w:rPr>
              <w:t xml:space="preserve"> </w:t>
            </w:r>
            <w:r>
              <w:rPr>
                <w:color w:val="000000"/>
                <w:sz w:val="24"/>
                <w:szCs w:val="24"/>
              </w:rPr>
              <w:t>«Охорона праці в галузі».</w:t>
            </w:r>
          </w:p>
        </w:tc>
      </w:tr>
      <w:tr w:rsidR="00BE089C" w:rsidRPr="009039D2" w:rsidTr="00820B31">
        <w:trPr>
          <w:trHeight w:val="907"/>
        </w:trPr>
        <w:tc>
          <w:tcPr>
            <w:tcW w:w="2905" w:type="dxa"/>
            <w:shd w:val="clear" w:color="auto" w:fill="D9D9D9"/>
          </w:tcPr>
          <w:p w:rsidR="00BE089C" w:rsidRPr="009039D2" w:rsidRDefault="00BE089C" w:rsidP="00820B31">
            <w:pPr>
              <w:pStyle w:val="TableParagraph"/>
              <w:spacing w:line="242" w:lineRule="auto"/>
              <w:ind w:left="76"/>
              <w:rPr>
                <w:b/>
                <w:sz w:val="24"/>
              </w:rPr>
            </w:pPr>
            <w:r w:rsidRPr="009039D2">
              <w:rPr>
                <w:b/>
                <w:sz w:val="24"/>
              </w:rPr>
              <w:t>Критерії оцінювання</w:t>
            </w:r>
          </w:p>
        </w:tc>
        <w:tc>
          <w:tcPr>
            <w:tcW w:w="7299" w:type="dxa"/>
            <w:shd w:val="clear" w:color="auto" w:fill="auto"/>
          </w:tcPr>
          <w:p w:rsidR="00BE089C" w:rsidRPr="009039D2" w:rsidRDefault="00BE089C" w:rsidP="007D0E44">
            <w:pPr>
              <w:pStyle w:val="TableParagraph"/>
              <w:spacing w:line="272" w:lineRule="exact"/>
              <w:ind w:left="113" w:right="113"/>
              <w:jc w:val="both"/>
              <w:rPr>
                <w:b/>
                <w:sz w:val="24"/>
              </w:rPr>
            </w:pPr>
            <w:r w:rsidRPr="009039D2">
              <w:rPr>
                <w:b/>
                <w:sz w:val="24"/>
              </w:rPr>
              <w:t>Критерії оцінювання:</w:t>
            </w:r>
          </w:p>
          <w:p w:rsidR="00BE089C" w:rsidRPr="009039D2" w:rsidRDefault="00BE089C" w:rsidP="007D0E44">
            <w:pPr>
              <w:pStyle w:val="TableParagraph"/>
              <w:ind w:left="113" w:right="113"/>
              <w:jc w:val="both"/>
              <w:rPr>
                <w:sz w:val="24"/>
              </w:rPr>
            </w:pPr>
            <w:r w:rsidRPr="009039D2">
              <w:rPr>
                <w:sz w:val="24"/>
              </w:rPr>
              <w:t>Оцінка «</w:t>
            </w:r>
            <w:r w:rsidRPr="009039D2">
              <w:rPr>
                <w:b/>
                <w:sz w:val="24"/>
              </w:rPr>
              <w:t>відмінно</w:t>
            </w:r>
            <w:r w:rsidRPr="009039D2">
              <w:rPr>
                <w:sz w:val="24"/>
              </w:rPr>
              <w:t>» виставляється, якщо здобувач освіти у повному обсязі володіє навчальним матеріалом, вільно, самостійно й аргументовано його викладає, глибоко та всебічно розкриває зміст теоретичних запитань та практичних завдань, використовуючи при цьому обов’язкову та додаткову літературу,</w:t>
            </w:r>
            <w:r>
              <w:rPr>
                <w:sz w:val="24"/>
              </w:rPr>
              <w:t xml:space="preserve"> </w:t>
            </w:r>
            <w:r w:rsidRPr="009039D2">
              <w:rPr>
                <w:sz w:val="24"/>
              </w:rPr>
              <w:t>вільно послуговується науковою термінологією, розв’язує задачі стандартним або оригінальним способом, наводить аргументи на підтвердження власних думок, здійснює аналіз та робить висновки.</w:t>
            </w:r>
          </w:p>
          <w:p w:rsidR="00BE089C" w:rsidRPr="009039D2" w:rsidRDefault="00BE089C" w:rsidP="007D0E44">
            <w:pPr>
              <w:pStyle w:val="TableParagraph"/>
              <w:ind w:left="113" w:right="113"/>
              <w:rPr>
                <w:sz w:val="24"/>
              </w:rPr>
            </w:pPr>
          </w:p>
          <w:p w:rsidR="00BE089C" w:rsidRPr="009039D2" w:rsidRDefault="00BE089C" w:rsidP="007D0E44">
            <w:pPr>
              <w:pStyle w:val="TableParagraph"/>
              <w:ind w:left="113" w:right="113"/>
              <w:jc w:val="both"/>
              <w:rPr>
                <w:sz w:val="24"/>
              </w:rPr>
            </w:pPr>
            <w:r w:rsidRPr="009039D2">
              <w:rPr>
                <w:sz w:val="24"/>
              </w:rPr>
              <w:t>Оцінка «</w:t>
            </w:r>
            <w:r w:rsidRPr="009039D2">
              <w:rPr>
                <w:b/>
                <w:sz w:val="24"/>
              </w:rPr>
              <w:t>добре</w:t>
            </w:r>
            <w:r w:rsidRPr="009039D2">
              <w:rPr>
                <w:sz w:val="24"/>
              </w:rPr>
              <w:t>» виставляється, якщо здобувач освіти достатньо повно володіє навчальним матеріалом, обґрунтовано його викладає, в основному розкриває зміст теоретичних запитань та практичних завдань, використовуючи при цьому обов’язкову літературу, розв’язує задачі стандартним способом, послуговується науковою термінологією, але при висвітленні деяких питань не вистачає достатньої глибини та аргументації, допускаються при цьому окремі неістотні неточності та незначні помилки.</w:t>
            </w:r>
          </w:p>
          <w:p w:rsidR="00BE089C" w:rsidRPr="009039D2" w:rsidRDefault="00BE089C" w:rsidP="007D0E44">
            <w:pPr>
              <w:pStyle w:val="TableParagraph"/>
              <w:ind w:left="113" w:right="113"/>
              <w:rPr>
                <w:sz w:val="23"/>
              </w:rPr>
            </w:pPr>
          </w:p>
          <w:p w:rsidR="00BE089C" w:rsidRPr="009039D2" w:rsidRDefault="00BE089C" w:rsidP="007D0E44">
            <w:pPr>
              <w:pStyle w:val="TableParagraph"/>
              <w:ind w:left="113" w:right="113"/>
              <w:jc w:val="both"/>
              <w:rPr>
                <w:sz w:val="24"/>
              </w:rPr>
            </w:pPr>
            <w:r w:rsidRPr="009039D2">
              <w:rPr>
                <w:sz w:val="24"/>
              </w:rPr>
              <w:t>Оцінка «</w:t>
            </w:r>
            <w:r w:rsidRPr="009039D2">
              <w:rPr>
                <w:b/>
                <w:sz w:val="24"/>
              </w:rPr>
              <w:t>задовільно</w:t>
            </w:r>
            <w:r w:rsidRPr="009039D2">
              <w:rPr>
                <w:sz w:val="24"/>
              </w:rPr>
              <w:t>» виставляється, якщо здобувач освіти відтворює значну частину навчального матеріалу, висвітлює його основний зміст, виявляє елементарні знання окремих положень, записує основні формули, рівняння, закони, однак нездатний до глибокого, всебічного аналізу, обґрунтування та аргументації, не користується необхідною літературою, допускає істотні неточності та помилки.</w:t>
            </w:r>
          </w:p>
          <w:p w:rsidR="00BE089C" w:rsidRPr="009039D2" w:rsidRDefault="00BE089C" w:rsidP="007D0E44">
            <w:pPr>
              <w:pStyle w:val="TableParagraph"/>
              <w:ind w:left="113" w:right="113"/>
              <w:rPr>
                <w:sz w:val="24"/>
              </w:rPr>
            </w:pPr>
          </w:p>
          <w:p w:rsidR="00BE089C" w:rsidRPr="009039D2" w:rsidRDefault="00BE089C" w:rsidP="007D0E44">
            <w:pPr>
              <w:pStyle w:val="TableParagraph"/>
              <w:spacing w:line="242" w:lineRule="auto"/>
              <w:ind w:left="113" w:right="113"/>
              <w:jc w:val="both"/>
              <w:rPr>
                <w:sz w:val="24"/>
              </w:rPr>
            </w:pPr>
            <w:r w:rsidRPr="009039D2">
              <w:rPr>
                <w:sz w:val="24"/>
              </w:rPr>
              <w:t>Оцінка «</w:t>
            </w:r>
            <w:r w:rsidRPr="009039D2">
              <w:rPr>
                <w:b/>
                <w:sz w:val="24"/>
              </w:rPr>
              <w:t>незадовільно</w:t>
            </w:r>
            <w:r w:rsidRPr="009039D2">
              <w:rPr>
                <w:sz w:val="24"/>
              </w:rPr>
              <w:t>» виставляється, якщо здобувач освіти достатньо не володіє навчальним матеріалом, однак фрагментарно, поверхово (без аргументації й обґрунтування) викладає окремі питання навчальної дисципліни, не розкриває зміст теоретичних питань і практичних завдань.</w:t>
            </w:r>
          </w:p>
        </w:tc>
      </w:tr>
      <w:tr w:rsidR="00BE089C" w:rsidRPr="009039D2" w:rsidTr="00820B31">
        <w:trPr>
          <w:trHeight w:val="272"/>
        </w:trPr>
        <w:tc>
          <w:tcPr>
            <w:tcW w:w="2905" w:type="dxa"/>
            <w:shd w:val="clear" w:color="auto" w:fill="D9D9D9"/>
          </w:tcPr>
          <w:p w:rsidR="00BE089C" w:rsidRPr="009039D2" w:rsidRDefault="00BE089C" w:rsidP="00820B31">
            <w:pPr>
              <w:pStyle w:val="TableParagraph"/>
              <w:spacing w:line="242" w:lineRule="auto"/>
              <w:ind w:left="76"/>
              <w:rPr>
                <w:b/>
                <w:sz w:val="24"/>
              </w:rPr>
            </w:pPr>
            <w:r w:rsidRPr="009039D2">
              <w:rPr>
                <w:b/>
                <w:sz w:val="24"/>
              </w:rPr>
              <w:t>Політика курсу</w:t>
            </w:r>
          </w:p>
        </w:tc>
        <w:tc>
          <w:tcPr>
            <w:tcW w:w="7299" w:type="dxa"/>
            <w:shd w:val="clear" w:color="auto" w:fill="auto"/>
          </w:tcPr>
          <w:p w:rsidR="00BE089C" w:rsidRPr="009039D2" w:rsidRDefault="00BE089C" w:rsidP="007D0E44">
            <w:pPr>
              <w:pStyle w:val="TableParagraph"/>
              <w:ind w:left="113" w:right="113"/>
              <w:jc w:val="both"/>
              <w:rPr>
                <w:color w:val="000000"/>
                <w:sz w:val="24"/>
                <w:szCs w:val="24"/>
              </w:rPr>
            </w:pPr>
            <w:r w:rsidRPr="009039D2">
              <w:rPr>
                <w:color w:val="000000"/>
                <w:sz w:val="24"/>
                <w:szCs w:val="24"/>
              </w:rPr>
              <w:t>Курс передбачає індивідуальну та групову роботу.</w:t>
            </w:r>
          </w:p>
          <w:p w:rsidR="00BE089C" w:rsidRPr="009039D2" w:rsidRDefault="00BE089C" w:rsidP="007D0E44">
            <w:pPr>
              <w:pStyle w:val="TableParagraph"/>
              <w:ind w:left="113" w:right="113"/>
              <w:jc w:val="both"/>
              <w:rPr>
                <w:color w:val="000000"/>
                <w:sz w:val="24"/>
                <w:szCs w:val="24"/>
              </w:rPr>
            </w:pPr>
            <w:r w:rsidRPr="009039D2">
              <w:rPr>
                <w:color w:val="000000"/>
                <w:sz w:val="24"/>
                <w:szCs w:val="24"/>
              </w:rPr>
              <w:t>Усі завдання, передбачені програмою, мають бути виконані у встановлений термін.</w:t>
            </w:r>
          </w:p>
          <w:p w:rsidR="00BE089C" w:rsidRPr="009039D2" w:rsidRDefault="00BE089C" w:rsidP="007D0E44">
            <w:pPr>
              <w:pStyle w:val="TableParagraph"/>
              <w:ind w:left="113" w:right="113"/>
              <w:jc w:val="both"/>
              <w:rPr>
                <w:color w:val="000000"/>
                <w:sz w:val="24"/>
                <w:szCs w:val="24"/>
              </w:rPr>
            </w:pPr>
            <w:r w:rsidRPr="009039D2">
              <w:rPr>
                <w:color w:val="000000"/>
                <w:sz w:val="24"/>
                <w:szCs w:val="24"/>
              </w:rPr>
              <w:t>Якщо здобувач освіти відсутній з поважної причини, він/вона презентує виконані завдання під час консультації викладача.</w:t>
            </w:r>
            <w:r w:rsidRPr="009039D2">
              <w:rPr>
                <w:color w:val="000000"/>
                <w:sz w:val="24"/>
                <w:szCs w:val="24"/>
              </w:rPr>
              <w:br/>
              <w:t>Під час роботи над індивідуальними завданнями та проектами не допустимо порушення академічної доброчесності.</w:t>
            </w:r>
          </w:p>
        </w:tc>
      </w:tr>
    </w:tbl>
    <w:p w:rsidR="00BE089C" w:rsidRPr="009039D2" w:rsidRDefault="00BE089C" w:rsidP="00BE089C">
      <w:pPr>
        <w:tabs>
          <w:tab w:val="left" w:pos="4680"/>
        </w:tabs>
      </w:pPr>
      <w:r w:rsidRPr="009039D2">
        <w:rPr>
          <w:sz w:val="24"/>
        </w:rPr>
        <w:tab/>
      </w:r>
    </w:p>
    <w:p w:rsidR="00AC7F85" w:rsidRDefault="00AC7F85"/>
    <w:sectPr w:rsidR="00AC7F85" w:rsidSect="00540F2D">
      <w:pgSz w:w="11900" w:h="16850"/>
      <w:pgMar w:top="700" w:right="440" w:bottom="280" w:left="10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F49D1"/>
    <w:multiLevelType w:val="hybridMultilevel"/>
    <w:tmpl w:val="8BB0742E"/>
    <w:lvl w:ilvl="0" w:tplc="43BE2380">
      <w:start w:val="1"/>
      <w:numFmt w:val="decimal"/>
      <w:lvlText w:val="%1."/>
      <w:lvlJc w:val="left"/>
      <w:pPr>
        <w:ind w:left="786" w:hanging="360"/>
      </w:pPr>
      <w:rPr>
        <w:rFonts w:cs="Times New Roman" w:hint="default"/>
        <w:b w:val="0"/>
        <w:sz w:val="24"/>
        <w:szCs w:val="24"/>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E089C"/>
    <w:rsid w:val="00136969"/>
    <w:rsid w:val="00172719"/>
    <w:rsid w:val="00407A69"/>
    <w:rsid w:val="00535A3E"/>
    <w:rsid w:val="007D0E44"/>
    <w:rsid w:val="00873980"/>
    <w:rsid w:val="008F426E"/>
    <w:rsid w:val="008F62BD"/>
    <w:rsid w:val="00986A23"/>
    <w:rsid w:val="00A6367F"/>
    <w:rsid w:val="00A7057B"/>
    <w:rsid w:val="00AC7F85"/>
    <w:rsid w:val="00BE089C"/>
    <w:rsid w:val="00CE715B"/>
    <w:rsid w:val="00CE74C5"/>
    <w:rsid w:val="00CF749C"/>
    <w:rsid w:val="00D31E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6A54D"/>
  <w15:docId w15:val="{C993D952-D956-4A79-960D-308DEAEA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00" w:afterAutospacing="1"/>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089C"/>
    <w:pPr>
      <w:widowControl w:val="0"/>
      <w:autoSpaceDE w:val="0"/>
      <w:autoSpaceDN w:val="0"/>
      <w:spacing w:after="0" w:afterAutospacing="0"/>
      <w:jc w:val="left"/>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BE089C"/>
    <w:pPr>
      <w:ind w:left="81"/>
    </w:pPr>
  </w:style>
  <w:style w:type="paragraph" w:styleId="a3">
    <w:name w:val="Body Text"/>
    <w:basedOn w:val="a"/>
    <w:link w:val="a4"/>
    <w:uiPriority w:val="1"/>
    <w:qFormat/>
    <w:rsid w:val="00BE089C"/>
    <w:pPr>
      <w:ind w:left="232"/>
    </w:pPr>
    <w:rPr>
      <w:sz w:val="28"/>
      <w:szCs w:val="28"/>
    </w:rPr>
  </w:style>
  <w:style w:type="character" w:customStyle="1" w:styleId="a4">
    <w:name w:val="Основний текст Знак"/>
    <w:basedOn w:val="a0"/>
    <w:link w:val="a3"/>
    <w:uiPriority w:val="1"/>
    <w:rsid w:val="00BE089C"/>
    <w:rPr>
      <w:rFonts w:ascii="Times New Roman" w:eastAsia="Times New Roman" w:hAnsi="Times New Roman" w:cs="Times New Roman"/>
      <w:sz w:val="28"/>
      <w:szCs w:val="28"/>
    </w:rPr>
  </w:style>
  <w:style w:type="paragraph" w:styleId="a5">
    <w:name w:val="Normal (Web)"/>
    <w:basedOn w:val="a"/>
    <w:uiPriority w:val="99"/>
    <w:unhideWhenUsed/>
    <w:rsid w:val="00BE089C"/>
    <w:pPr>
      <w:widowControl/>
      <w:autoSpaceDE/>
      <w:autoSpaceDN/>
      <w:spacing w:before="100" w:beforeAutospacing="1" w:after="100" w:afterAutospacing="1"/>
    </w:pPr>
    <w:rPr>
      <w:sz w:val="24"/>
      <w:szCs w:val="24"/>
    </w:rPr>
  </w:style>
  <w:style w:type="character" w:styleId="a6">
    <w:name w:val="Strong"/>
    <w:uiPriority w:val="22"/>
    <w:qFormat/>
    <w:rsid w:val="00BE089C"/>
    <w:rPr>
      <w:b/>
      <w:bCs/>
    </w:rPr>
  </w:style>
  <w:style w:type="character" w:styleId="a7">
    <w:name w:val="Hyperlink"/>
    <w:uiPriority w:val="99"/>
    <w:rsid w:val="00BE089C"/>
    <w:rPr>
      <w:color w:val="0563C1"/>
      <w:u w:val="single"/>
    </w:rPr>
  </w:style>
  <w:style w:type="paragraph" w:styleId="a8">
    <w:name w:val="Balloon Text"/>
    <w:basedOn w:val="a"/>
    <w:link w:val="a9"/>
    <w:uiPriority w:val="99"/>
    <w:semiHidden/>
    <w:unhideWhenUsed/>
    <w:rsid w:val="00BE089C"/>
    <w:rPr>
      <w:rFonts w:ascii="Tahoma" w:hAnsi="Tahoma" w:cs="Tahoma"/>
      <w:sz w:val="16"/>
      <w:szCs w:val="16"/>
    </w:rPr>
  </w:style>
  <w:style w:type="character" w:customStyle="1" w:styleId="a9">
    <w:name w:val="Текст у виносці Знак"/>
    <w:basedOn w:val="a0"/>
    <w:link w:val="a8"/>
    <w:uiPriority w:val="99"/>
    <w:semiHidden/>
    <w:rsid w:val="00BE089C"/>
    <w:rPr>
      <w:rFonts w:ascii="Tahoma" w:eastAsia="Times New Roman" w:hAnsi="Tahoma" w:cs="Tahoma"/>
      <w:sz w:val="16"/>
      <w:szCs w:val="16"/>
    </w:rPr>
  </w:style>
  <w:style w:type="paragraph" w:customStyle="1" w:styleId="Default">
    <w:name w:val="Default"/>
    <w:rsid w:val="007D0E44"/>
    <w:pPr>
      <w:autoSpaceDE w:val="0"/>
      <w:autoSpaceDN w:val="0"/>
      <w:adjustRightInd w:val="0"/>
      <w:spacing w:after="0" w:afterAutospacing="0"/>
      <w:jc w:val="left"/>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25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772-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z0760-14" TargetMode="External"/><Relationship Id="rId12" Type="http://schemas.openxmlformats.org/officeDocument/2006/relationships/hyperlink" Target="https://zakon.rada.gov.ua/laws/show/z0762-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750-14" TargetMode="External"/><Relationship Id="rId11" Type="http://schemas.openxmlformats.org/officeDocument/2006/relationships/hyperlink" Target="https://zakon.rada.gov.ua/laws/show/z0755-14" TargetMode="External"/><Relationship Id="rId5" Type="http://schemas.openxmlformats.org/officeDocument/2006/relationships/image" Target="media/image1.png"/><Relationship Id="rId10" Type="http://schemas.openxmlformats.org/officeDocument/2006/relationships/hyperlink" Target="https://zakon.rada.gov.ua/laws/show/z0759-14" TargetMode="External"/><Relationship Id="rId4" Type="http://schemas.openxmlformats.org/officeDocument/2006/relationships/webSettings" Target="webSettings.xml"/><Relationship Id="rId9" Type="http://schemas.openxmlformats.org/officeDocument/2006/relationships/hyperlink" Target="https://zakon.rada.gov.ua/laws/show/z0775-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4</Pages>
  <Words>1708</Words>
  <Characters>9740</Characters>
  <Application>Microsoft Office Word</Application>
  <DocSecurity>0</DocSecurity>
  <Lines>81</Lines>
  <Paragraphs>22</Paragraphs>
  <ScaleCrop>false</ScaleCrop>
  <HeadingPairs>
    <vt:vector size="2" baseType="variant">
      <vt:variant>
        <vt:lpstr>Назва</vt:lpstr>
      </vt:variant>
      <vt:variant>
        <vt:i4>1</vt:i4>
      </vt:variant>
    </vt:vector>
  </HeadingPairs>
  <TitlesOfParts>
    <vt:vector size="1" baseType="lpstr">
      <vt:lpstr/>
    </vt:vector>
  </TitlesOfParts>
  <Company>Grizli777</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Vlad</cp:lastModifiedBy>
  <cp:revision>9</cp:revision>
  <dcterms:created xsi:type="dcterms:W3CDTF">2022-05-07T18:45:00Z</dcterms:created>
  <dcterms:modified xsi:type="dcterms:W3CDTF">2023-02-01T18:10:00Z</dcterms:modified>
</cp:coreProperties>
</file>