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291A" w14:textId="77777777" w:rsidR="00E17E3B" w:rsidRDefault="00E17E3B">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E17E3B" w14:paraId="138FACB8" w14:textId="77777777">
        <w:tc>
          <w:tcPr>
            <w:tcW w:w="4111" w:type="dxa"/>
          </w:tcPr>
          <w:p w14:paraId="564BA183" w14:textId="77777777" w:rsidR="00E17E3B" w:rsidRDefault="00A84D92">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114300" distR="114300" wp14:anchorId="23A7070D" wp14:editId="59C640EF">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2E7FFAFA" w14:textId="77777777" w:rsidR="00E17E3B" w:rsidRDefault="00A84D92">
            <w:pPr>
              <w:pBdr>
                <w:top w:val="nil"/>
                <w:left w:val="nil"/>
                <w:bottom w:val="nil"/>
                <w:right w:val="nil"/>
                <w:between w:val="nil"/>
              </w:pBdr>
              <w:ind w:right="-21"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СИЛАБУС НАВЧАЛЬНОЇ ДИСЦИПЛІНИ</w:t>
            </w:r>
          </w:p>
          <w:p w14:paraId="7ECC213B" w14:textId="77777777" w:rsidR="00E77F36" w:rsidRPr="00E1781D" w:rsidRDefault="00E77F36" w:rsidP="00E77F36">
            <w:pPr>
              <w:ind w:left="2" w:right="-57" w:hanging="4"/>
              <w:jc w:val="center"/>
              <w:rPr>
                <w:rFonts w:ascii="Times New Roman" w:hAnsi="Times New Roman" w:cs="Times New Roman"/>
                <w:b/>
                <w:sz w:val="40"/>
                <w:szCs w:val="40"/>
              </w:rPr>
            </w:pPr>
            <w:r w:rsidRPr="00E1781D">
              <w:rPr>
                <w:rFonts w:ascii="Times New Roman" w:hAnsi="Times New Roman" w:cs="Times New Roman"/>
                <w:b/>
                <w:sz w:val="40"/>
                <w:szCs w:val="40"/>
              </w:rPr>
              <w:t>АВТОТЕХНІЧНА ЕКСПЕРТИЗА, СТРАХУВАННЯ І СЕРТИФІКАЦІЯ КТЗ</w:t>
            </w:r>
          </w:p>
          <w:p w14:paraId="7823E185" w14:textId="77777777" w:rsidR="00E17E3B" w:rsidRDefault="00E17E3B">
            <w:pPr>
              <w:pBdr>
                <w:top w:val="nil"/>
                <w:left w:val="nil"/>
                <w:bottom w:val="nil"/>
                <w:right w:val="nil"/>
                <w:between w:val="nil"/>
              </w:pBdr>
              <w:ind w:right="-52" w:hanging="2"/>
              <w:jc w:val="center"/>
              <w:rPr>
                <w:rFonts w:ascii="Times New Roman" w:eastAsia="Times New Roman" w:hAnsi="Times New Roman" w:cs="Times New Roman"/>
                <w:color w:val="000000"/>
                <w:sz w:val="24"/>
                <w:szCs w:val="24"/>
              </w:rPr>
            </w:pPr>
          </w:p>
        </w:tc>
      </w:tr>
    </w:tbl>
    <w:p w14:paraId="09E1DCFF" w14:textId="77777777" w:rsidR="00E17E3B" w:rsidRDefault="00E17E3B">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0482A3C6" w14:textId="77777777" w:rsidR="006D4783" w:rsidRDefault="006D4783" w:rsidP="006D4783">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Pr>
          <w:rFonts w:ascii="Times New Roman" w:eastAsia="Times New Roman" w:hAnsi="Times New Roman" w:cs="Times New Roman"/>
          <w:color w:val="000000"/>
          <w:sz w:val="24"/>
          <w:szCs w:val="24"/>
        </w:rPr>
        <w:t xml:space="preserve">Автомобільний транспорт, </w:t>
      </w:r>
    </w:p>
    <w:p w14:paraId="22D18DDE" w14:textId="77777777" w:rsidR="006D4783" w:rsidRPr="0007419B" w:rsidRDefault="006D4783" w:rsidP="006D4783">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5C3C3432" w14:textId="77777777" w:rsidR="006D4783" w:rsidRDefault="006D4783" w:rsidP="006D4783">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color w:val="000000"/>
          <w:sz w:val="24"/>
          <w:szCs w:val="24"/>
        </w:rPr>
        <w:t xml:space="preserve">274  Автомобільний транспорт, </w:t>
      </w:r>
    </w:p>
    <w:p w14:paraId="0CAB44FF" w14:textId="77777777" w:rsidR="006D4783" w:rsidRPr="0007419B" w:rsidRDefault="006D4783" w:rsidP="006D4783">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61BE7101" w14:textId="2182B485" w:rsidR="00E77F36" w:rsidRDefault="006D4783" w:rsidP="006D4783">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27 Транспорт</w:t>
      </w:r>
      <w:bookmarkStart w:id="0" w:name="_GoBack"/>
      <w:bookmarkEnd w:id="0"/>
    </w:p>
    <w:p w14:paraId="62021DAF" w14:textId="77777777" w:rsidR="00E17E3B" w:rsidRDefault="00E17E3B">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0639B91D" w14:textId="77777777" w:rsidR="00E17E3B" w:rsidRDefault="00E17E3B">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3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7938"/>
      </w:tblGrid>
      <w:tr w:rsidR="00E17E3B" w14:paraId="4A0A1754" w14:textId="77777777" w:rsidTr="00A84D92">
        <w:trPr>
          <w:trHeight w:val="550"/>
        </w:trPr>
        <w:tc>
          <w:tcPr>
            <w:tcW w:w="2417" w:type="dxa"/>
            <w:shd w:val="clear" w:color="auto" w:fill="D9D9D9"/>
          </w:tcPr>
          <w:p w14:paraId="6F7F4EA5"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938" w:type="dxa"/>
          </w:tcPr>
          <w:p w14:paraId="01F90A3A"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E17E3B" w14:paraId="7919620D" w14:textId="77777777" w:rsidTr="00A84D92">
        <w:trPr>
          <w:trHeight w:val="604"/>
        </w:trPr>
        <w:tc>
          <w:tcPr>
            <w:tcW w:w="2417" w:type="dxa"/>
            <w:shd w:val="clear" w:color="auto" w:fill="D9D9D9"/>
          </w:tcPr>
          <w:p w14:paraId="002DDD92"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938" w:type="dxa"/>
          </w:tcPr>
          <w:p w14:paraId="7A99CB4E"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E17E3B" w14:paraId="21F056F8" w14:textId="77777777" w:rsidTr="00A84D92">
        <w:trPr>
          <w:trHeight w:val="609"/>
        </w:trPr>
        <w:tc>
          <w:tcPr>
            <w:tcW w:w="2417" w:type="dxa"/>
            <w:shd w:val="clear" w:color="auto" w:fill="D9D9D9"/>
          </w:tcPr>
          <w:p w14:paraId="5DD3788B"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14C45506"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938" w:type="dxa"/>
          </w:tcPr>
          <w:p w14:paraId="4AFE8991" w14:textId="77777777" w:rsidR="00E17E3B" w:rsidRDefault="00A84D92" w:rsidP="004B3823">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Вибіркова </w:t>
            </w:r>
          </w:p>
        </w:tc>
      </w:tr>
      <w:tr w:rsidR="00E17E3B" w14:paraId="08BEE164" w14:textId="77777777" w:rsidTr="00A84D92">
        <w:trPr>
          <w:trHeight w:val="888"/>
        </w:trPr>
        <w:tc>
          <w:tcPr>
            <w:tcW w:w="2417" w:type="dxa"/>
            <w:shd w:val="clear" w:color="auto" w:fill="D9D9D9"/>
          </w:tcPr>
          <w:p w14:paraId="1C453306" w14:textId="77777777" w:rsidR="00E17E3B" w:rsidRPr="00F130F6" w:rsidRDefault="00A84D92">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F130F6">
              <w:rPr>
                <w:rFonts w:ascii="Times New Roman" w:eastAsia="Times New Roman" w:hAnsi="Times New Roman" w:cs="Times New Roman"/>
                <w:b/>
                <w:color w:val="000000"/>
                <w:sz w:val="24"/>
                <w:szCs w:val="24"/>
                <w:lang w:val="ru-RU"/>
              </w:rPr>
              <w:t xml:space="preserve">Обсяг дисципліни </w:t>
            </w:r>
          </w:p>
          <w:p w14:paraId="25C3393C" w14:textId="77777777" w:rsidR="00E17E3B" w:rsidRPr="00F130F6" w:rsidRDefault="00A84D92">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F130F6">
              <w:rPr>
                <w:rFonts w:ascii="Times New Roman" w:eastAsia="Times New Roman" w:hAnsi="Times New Roman" w:cs="Times New Roman"/>
                <w:b/>
                <w:color w:val="000000"/>
                <w:sz w:val="24"/>
                <w:szCs w:val="24"/>
                <w:lang w:val="ru-RU"/>
              </w:rPr>
              <w:t>(кредити ЄКТС/ загальна</w:t>
            </w:r>
          </w:p>
          <w:p w14:paraId="4D777449" w14:textId="77777777" w:rsidR="00E17E3B" w:rsidRPr="00F130F6" w:rsidRDefault="00A84D92">
            <w:pPr>
              <w:pBdr>
                <w:top w:val="nil"/>
                <w:left w:val="nil"/>
                <w:bottom w:val="nil"/>
                <w:right w:val="nil"/>
                <w:between w:val="nil"/>
              </w:pBdr>
              <w:ind w:hanging="2"/>
              <w:rPr>
                <w:color w:val="000000"/>
                <w:lang w:val="ru-RU"/>
              </w:rPr>
            </w:pPr>
            <w:r w:rsidRPr="00F130F6">
              <w:rPr>
                <w:rFonts w:ascii="Times New Roman" w:eastAsia="Times New Roman" w:hAnsi="Times New Roman" w:cs="Times New Roman"/>
                <w:b/>
                <w:color w:val="000000"/>
                <w:sz w:val="24"/>
                <w:szCs w:val="24"/>
                <w:lang w:val="ru-RU"/>
              </w:rPr>
              <w:t>кількість годин</w:t>
            </w:r>
            <w:r w:rsidRPr="00F130F6">
              <w:rPr>
                <w:color w:val="000000"/>
                <w:lang w:val="ru-RU"/>
              </w:rPr>
              <w:t>)</w:t>
            </w:r>
          </w:p>
        </w:tc>
        <w:tc>
          <w:tcPr>
            <w:tcW w:w="7938" w:type="dxa"/>
          </w:tcPr>
          <w:p w14:paraId="7AB4E4EA" w14:textId="77777777" w:rsidR="00E17E3B" w:rsidRDefault="000F14F1" w:rsidP="000F14F1">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84D92">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A84D92">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A84D92">
              <w:rPr>
                <w:rFonts w:ascii="Times New Roman" w:eastAsia="Times New Roman" w:hAnsi="Times New Roman" w:cs="Times New Roman"/>
                <w:color w:val="000000"/>
                <w:sz w:val="24"/>
                <w:szCs w:val="24"/>
              </w:rPr>
              <w:t xml:space="preserve"> годин</w:t>
            </w:r>
          </w:p>
        </w:tc>
      </w:tr>
      <w:tr w:rsidR="00E17E3B" w14:paraId="7047EB50" w14:textId="77777777" w:rsidTr="00A84D92">
        <w:trPr>
          <w:trHeight w:val="369"/>
        </w:trPr>
        <w:tc>
          <w:tcPr>
            <w:tcW w:w="2417" w:type="dxa"/>
            <w:shd w:val="clear" w:color="auto" w:fill="D9D9D9"/>
          </w:tcPr>
          <w:p w14:paraId="1DD980E3"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938" w:type="dxa"/>
          </w:tcPr>
          <w:p w14:paraId="3C3249D9" w14:textId="27608D4F" w:rsidR="00E17E3B" w:rsidRPr="000F14F1" w:rsidRDefault="00F130F6" w:rsidP="000F14F1">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Циклова комісія автомобільного транспорту</w:t>
            </w:r>
          </w:p>
        </w:tc>
      </w:tr>
      <w:tr w:rsidR="00E17E3B" w14:paraId="389F02A4" w14:textId="77777777" w:rsidTr="00A84D92">
        <w:trPr>
          <w:trHeight w:val="369"/>
        </w:trPr>
        <w:tc>
          <w:tcPr>
            <w:tcW w:w="2417" w:type="dxa"/>
            <w:shd w:val="clear" w:color="auto" w:fill="D9D9D9"/>
          </w:tcPr>
          <w:p w14:paraId="121B41F8"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938" w:type="dxa"/>
          </w:tcPr>
          <w:p w14:paraId="3ABE7BC5"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E17E3B" w14:paraId="0956D4AD" w14:textId="77777777" w:rsidTr="00A84D92">
        <w:trPr>
          <w:trHeight w:val="1436"/>
        </w:trPr>
        <w:tc>
          <w:tcPr>
            <w:tcW w:w="2417" w:type="dxa"/>
            <w:shd w:val="clear" w:color="auto" w:fill="D9D9D9"/>
          </w:tcPr>
          <w:p w14:paraId="473531C2"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5EC2B3B2"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938" w:type="dxa"/>
          </w:tcPr>
          <w:p w14:paraId="6E7493CB" w14:textId="77777777" w:rsidR="00E17E3B" w:rsidRDefault="00E77F36" w:rsidP="000F14F1">
            <w:pPr>
              <w:ind w:hanging="2"/>
              <w:jc w:val="both"/>
              <w:rPr>
                <w:rFonts w:ascii="Times New Roman" w:eastAsia="Times New Roman" w:hAnsi="Times New Roman" w:cs="Times New Roman"/>
                <w:color w:val="000000"/>
                <w:sz w:val="24"/>
                <w:szCs w:val="24"/>
              </w:rPr>
            </w:pPr>
            <w:r w:rsidRPr="005C07DD">
              <w:rPr>
                <w:rFonts w:ascii="Times New Roman" w:hAnsi="Times New Roman" w:cs="Times New Roman"/>
                <w:spacing w:val="-4"/>
                <w:sz w:val="24"/>
                <w:szCs w:val="24"/>
              </w:rPr>
              <w:t>Навчальна дисципліна «</w:t>
            </w:r>
            <w:proofErr w:type="spellStart"/>
            <w:r w:rsidRPr="005C07DD">
              <w:rPr>
                <w:rFonts w:ascii="Times New Roman" w:hAnsi="Times New Roman" w:cs="Times New Roman"/>
                <w:spacing w:val="-4"/>
                <w:sz w:val="24"/>
                <w:szCs w:val="24"/>
              </w:rPr>
              <w:t>Автотехнічна</w:t>
            </w:r>
            <w:proofErr w:type="spellEnd"/>
            <w:r w:rsidRPr="005C07DD">
              <w:rPr>
                <w:rFonts w:ascii="Times New Roman" w:hAnsi="Times New Roman" w:cs="Times New Roman"/>
                <w:spacing w:val="-4"/>
                <w:sz w:val="24"/>
                <w:szCs w:val="24"/>
              </w:rPr>
              <w:t xml:space="preserve"> експертиза, страхування і сертифікація КТЗ» забезпечує професійний розвиток здобувача </w:t>
            </w:r>
            <w:r w:rsidRPr="005C07DD">
              <w:rPr>
                <w:rFonts w:ascii="Times New Roman" w:hAnsi="Times New Roman" w:cs="Times New Roman"/>
                <w:spacing w:val="-6"/>
                <w:sz w:val="24"/>
                <w:szCs w:val="24"/>
              </w:rPr>
              <w:t xml:space="preserve">вищої освіти та спрямована на формування загальних і фахових компетенцій знань в галузі </w:t>
            </w:r>
            <w:proofErr w:type="spellStart"/>
            <w:r w:rsidRPr="005C07DD">
              <w:rPr>
                <w:rFonts w:ascii="Times New Roman" w:hAnsi="Times New Roman" w:cs="Times New Roman"/>
                <w:spacing w:val="-6"/>
                <w:sz w:val="24"/>
                <w:szCs w:val="24"/>
              </w:rPr>
              <w:t>автотехнічної</w:t>
            </w:r>
            <w:proofErr w:type="spellEnd"/>
            <w:r w:rsidRPr="005C07DD">
              <w:rPr>
                <w:rFonts w:ascii="Times New Roman" w:hAnsi="Times New Roman" w:cs="Times New Roman"/>
                <w:spacing w:val="-6"/>
                <w:sz w:val="24"/>
                <w:szCs w:val="24"/>
              </w:rPr>
              <w:t xml:space="preserve"> експертизи, сертифікації  КТЗ; відіграє  важливу роль у підготовці фахівців з страхування ,  формує необхідний рівень підготовки для розв’язання технічних та організаційно-правових,  економічних  питань стосовно нормативно-технічного забезпечення якості виробленої продукції та послуг страхування на підприємствах автомобільного транспорту</w:t>
            </w:r>
            <w:r w:rsidRPr="005C07DD">
              <w:rPr>
                <w:rFonts w:ascii="Times New Roman" w:hAnsi="Times New Roman" w:cs="Times New Roman"/>
                <w:spacing w:val="-4"/>
                <w:sz w:val="24"/>
                <w:szCs w:val="24"/>
              </w:rPr>
              <w:t xml:space="preserve"> тощо.</w:t>
            </w:r>
          </w:p>
        </w:tc>
      </w:tr>
      <w:tr w:rsidR="00E17E3B" w14:paraId="023D61C1" w14:textId="77777777" w:rsidTr="000F14F1">
        <w:trPr>
          <w:trHeight w:val="416"/>
        </w:trPr>
        <w:tc>
          <w:tcPr>
            <w:tcW w:w="2417" w:type="dxa"/>
            <w:shd w:val="clear" w:color="auto" w:fill="D9D9D9"/>
          </w:tcPr>
          <w:p w14:paraId="6329A31F"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4F63D7E5"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938" w:type="dxa"/>
          </w:tcPr>
          <w:p w14:paraId="445E3ACB" w14:textId="77777777" w:rsidR="00CA5E3B" w:rsidRPr="005C07DD" w:rsidRDefault="00A84D92">
            <w:pPr>
              <w:pBdr>
                <w:top w:val="nil"/>
                <w:left w:val="nil"/>
                <w:bottom w:val="nil"/>
                <w:right w:val="nil"/>
                <w:between w:val="nil"/>
              </w:pBdr>
              <w:tabs>
                <w:tab w:val="left" w:pos="508"/>
              </w:tabs>
              <w:ind w:right="114" w:hanging="2"/>
              <w:jc w:val="both"/>
              <w:rPr>
                <w:rFonts w:ascii="Times New Roman" w:eastAsia="Times New Roman" w:hAnsi="Times New Roman" w:cs="Times New Roman"/>
                <w:b/>
                <w:sz w:val="24"/>
                <w:szCs w:val="24"/>
              </w:rPr>
            </w:pPr>
            <w:r w:rsidRPr="005C07DD">
              <w:rPr>
                <w:rFonts w:ascii="Times New Roman" w:eastAsia="Times New Roman" w:hAnsi="Times New Roman" w:cs="Times New Roman"/>
                <w:b/>
                <w:sz w:val="24"/>
                <w:szCs w:val="24"/>
              </w:rPr>
              <w:t>Предметом</w:t>
            </w:r>
            <w:r w:rsidRPr="005C07DD">
              <w:rPr>
                <w:rFonts w:ascii="Times New Roman" w:eastAsia="Times New Roman" w:hAnsi="Times New Roman" w:cs="Times New Roman"/>
                <w:sz w:val="24"/>
                <w:szCs w:val="24"/>
              </w:rPr>
              <w:t xml:space="preserve"> вивчення навчальної дисципліни «</w:t>
            </w:r>
            <w:proofErr w:type="spellStart"/>
            <w:r w:rsidR="00CA5E3B" w:rsidRPr="005C07DD">
              <w:rPr>
                <w:rFonts w:ascii="Times New Roman" w:hAnsi="Times New Roman" w:cs="Times New Roman"/>
                <w:spacing w:val="-4"/>
                <w:sz w:val="24"/>
                <w:szCs w:val="24"/>
              </w:rPr>
              <w:t>Автотехнічна</w:t>
            </w:r>
            <w:proofErr w:type="spellEnd"/>
            <w:r w:rsidR="00CA5E3B" w:rsidRPr="005C07DD">
              <w:rPr>
                <w:rFonts w:ascii="Times New Roman" w:hAnsi="Times New Roman" w:cs="Times New Roman"/>
                <w:spacing w:val="-4"/>
                <w:sz w:val="24"/>
                <w:szCs w:val="24"/>
              </w:rPr>
              <w:t xml:space="preserve"> експертиза, страхування і сертифікація КТЗ</w:t>
            </w:r>
            <w:r w:rsidRPr="005C07DD">
              <w:rPr>
                <w:rFonts w:ascii="Times New Roman" w:eastAsia="Times New Roman" w:hAnsi="Times New Roman" w:cs="Times New Roman"/>
                <w:sz w:val="24"/>
                <w:szCs w:val="24"/>
              </w:rPr>
              <w:t xml:space="preserve">» є </w:t>
            </w:r>
            <w:r w:rsidR="00CA5E3B" w:rsidRPr="005C07DD">
              <w:rPr>
                <w:rFonts w:ascii="Times New Roman" w:eastAsia="Times New Roman" w:hAnsi="Times New Roman" w:cs="Times New Roman"/>
                <w:sz w:val="24"/>
                <w:szCs w:val="24"/>
              </w:rPr>
              <w:t xml:space="preserve">основні поняття в галузі </w:t>
            </w:r>
            <w:proofErr w:type="spellStart"/>
            <w:r w:rsidR="00CA5E3B" w:rsidRPr="005C07DD">
              <w:rPr>
                <w:rFonts w:ascii="Times New Roman" w:hAnsi="Times New Roman" w:cs="Times New Roman"/>
                <w:spacing w:val="-6"/>
                <w:sz w:val="24"/>
                <w:szCs w:val="24"/>
              </w:rPr>
              <w:t>автотехнічної</w:t>
            </w:r>
            <w:proofErr w:type="spellEnd"/>
            <w:r w:rsidR="00CA5E3B" w:rsidRPr="005C07DD">
              <w:rPr>
                <w:rFonts w:ascii="Times New Roman" w:hAnsi="Times New Roman" w:cs="Times New Roman"/>
                <w:spacing w:val="-6"/>
                <w:sz w:val="24"/>
                <w:szCs w:val="24"/>
              </w:rPr>
              <w:t xml:space="preserve"> експертизи, сертифікації  КТЗ.</w:t>
            </w:r>
            <w:r w:rsidR="00CA5E3B" w:rsidRPr="005C07DD">
              <w:rPr>
                <w:rFonts w:ascii="Times New Roman" w:eastAsia="Times New Roman" w:hAnsi="Times New Roman" w:cs="Times New Roman"/>
                <w:b/>
                <w:sz w:val="24"/>
                <w:szCs w:val="24"/>
              </w:rPr>
              <w:t xml:space="preserve"> </w:t>
            </w:r>
          </w:p>
          <w:p w14:paraId="6E0245F9" w14:textId="77777777" w:rsidR="00E17E3B" w:rsidRPr="005C07DD" w:rsidRDefault="00A84D92">
            <w:pPr>
              <w:pBdr>
                <w:top w:val="nil"/>
                <w:left w:val="nil"/>
                <w:bottom w:val="nil"/>
                <w:right w:val="nil"/>
                <w:between w:val="nil"/>
              </w:pBdr>
              <w:tabs>
                <w:tab w:val="left" w:pos="508"/>
              </w:tabs>
              <w:ind w:right="114" w:hanging="2"/>
              <w:jc w:val="both"/>
              <w:rPr>
                <w:rFonts w:ascii="Times New Roman" w:eastAsia="Times New Roman" w:hAnsi="Times New Roman" w:cs="Times New Roman"/>
                <w:sz w:val="24"/>
                <w:szCs w:val="24"/>
              </w:rPr>
            </w:pPr>
            <w:r w:rsidRPr="005C07DD">
              <w:rPr>
                <w:rFonts w:ascii="Times New Roman" w:eastAsia="Times New Roman" w:hAnsi="Times New Roman" w:cs="Times New Roman"/>
                <w:b/>
                <w:sz w:val="24"/>
                <w:szCs w:val="24"/>
              </w:rPr>
              <w:t xml:space="preserve">Основними завданнями </w:t>
            </w:r>
            <w:r w:rsidRPr="005C07DD">
              <w:rPr>
                <w:rFonts w:ascii="Times New Roman" w:eastAsia="Times New Roman" w:hAnsi="Times New Roman" w:cs="Times New Roman"/>
                <w:sz w:val="24"/>
                <w:szCs w:val="24"/>
              </w:rPr>
              <w:t>вивчення є:</w:t>
            </w:r>
          </w:p>
          <w:p w14:paraId="6843658E" w14:textId="77777777" w:rsidR="0041141B" w:rsidRPr="005C07DD" w:rsidRDefault="0041141B" w:rsidP="0041141B">
            <w:pPr>
              <w:ind w:hanging="2"/>
              <w:jc w:val="both"/>
              <w:rPr>
                <w:rFonts w:ascii="Times New Roman" w:hAnsi="Times New Roman" w:cs="Times New Roman"/>
                <w:sz w:val="24"/>
                <w:szCs w:val="24"/>
              </w:rPr>
            </w:pPr>
            <w:r w:rsidRPr="005C07DD">
              <w:rPr>
                <w:rFonts w:ascii="Times New Roman" w:hAnsi="Times New Roman" w:cs="Times New Roman"/>
                <w:sz w:val="24"/>
                <w:szCs w:val="24"/>
              </w:rPr>
              <w:t xml:space="preserve">Загальні компетентності: здатність діяти соціально </w:t>
            </w:r>
            <w:proofErr w:type="spellStart"/>
            <w:r w:rsidRPr="005C07DD">
              <w:rPr>
                <w:rFonts w:ascii="Times New Roman" w:hAnsi="Times New Roman" w:cs="Times New Roman"/>
                <w:sz w:val="24"/>
                <w:szCs w:val="24"/>
              </w:rPr>
              <w:t>відповідально</w:t>
            </w:r>
            <w:proofErr w:type="spellEnd"/>
            <w:r w:rsidRPr="005C07DD">
              <w:rPr>
                <w:rFonts w:ascii="Times New Roman" w:hAnsi="Times New Roman" w:cs="Times New Roman"/>
                <w:sz w:val="24"/>
                <w:szCs w:val="24"/>
              </w:rPr>
              <w:t xml:space="preserve"> та свідомо; здатність спілкуватися з представниками інших професійних груп різного рівня (з експертами інших галузей знань/видів економічної діяльності, страхування).</w:t>
            </w:r>
          </w:p>
          <w:p w14:paraId="7C9BDB6A" w14:textId="77777777" w:rsidR="00E17E3B" w:rsidRPr="005C07DD" w:rsidRDefault="0041141B" w:rsidP="0041141B">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rPr>
            </w:pPr>
            <w:r w:rsidRPr="005C07DD">
              <w:rPr>
                <w:rFonts w:ascii="Times New Roman" w:hAnsi="Times New Roman" w:cs="Times New Roman"/>
                <w:sz w:val="24"/>
                <w:szCs w:val="24"/>
              </w:rPr>
              <w:t xml:space="preserve">Спеціальні (предметні) компетентності: знати загальні поняття з системи стандартизації, </w:t>
            </w:r>
            <w:proofErr w:type="spellStart"/>
            <w:r w:rsidRPr="005C07DD">
              <w:rPr>
                <w:rFonts w:ascii="Times New Roman" w:hAnsi="Times New Roman" w:cs="Times New Roman"/>
                <w:sz w:val="24"/>
                <w:szCs w:val="24"/>
              </w:rPr>
              <w:t>автотехнічної</w:t>
            </w:r>
            <w:proofErr w:type="spellEnd"/>
            <w:r w:rsidRPr="005C07DD">
              <w:rPr>
                <w:rFonts w:ascii="Times New Roman" w:hAnsi="Times New Roman" w:cs="Times New Roman"/>
                <w:sz w:val="24"/>
                <w:szCs w:val="24"/>
              </w:rPr>
              <w:t xml:space="preserve"> експертизи КТЗ; здатність аналізувати технологічні процеси експлуатації, обслуговування та ремонту об’єктів автомобільного транспорту, застосовувати експертні оцінки для проведення </w:t>
            </w:r>
            <w:proofErr w:type="spellStart"/>
            <w:r w:rsidRPr="005C07DD">
              <w:rPr>
                <w:rFonts w:ascii="Times New Roman" w:hAnsi="Times New Roman" w:cs="Times New Roman"/>
                <w:sz w:val="24"/>
                <w:szCs w:val="24"/>
              </w:rPr>
              <w:t>автотехнічної</w:t>
            </w:r>
            <w:proofErr w:type="spellEnd"/>
            <w:r w:rsidRPr="005C07DD">
              <w:rPr>
                <w:rFonts w:ascii="Times New Roman" w:hAnsi="Times New Roman" w:cs="Times New Roman"/>
                <w:sz w:val="24"/>
                <w:szCs w:val="24"/>
              </w:rPr>
              <w:t xml:space="preserve"> експертизи, сертифікації (послуг страхування) щодо подальшого обслуговування та ремонту автомобілів та їх складових частин, забезпечувати порядок та правила його діяльності; здатність організовувати </w:t>
            </w:r>
            <w:r w:rsidRPr="005C07DD">
              <w:rPr>
                <w:rFonts w:ascii="Times New Roman" w:hAnsi="Times New Roman" w:cs="Times New Roman"/>
                <w:sz w:val="24"/>
                <w:szCs w:val="24"/>
              </w:rPr>
              <w:lastRenderedPageBreak/>
              <w:t>ефективну виробничу діяльність структурних підрозділів підприємств автомобільного транспорту, малих колективів виконавців (бригад, дільниць, пунктів), щодо експертизи, сертифікації (страхування) ремонту автомобільного транспорту, їх систем та елементів.</w:t>
            </w:r>
          </w:p>
        </w:tc>
      </w:tr>
      <w:tr w:rsidR="00E17E3B" w14:paraId="4146D3BE" w14:textId="77777777" w:rsidTr="00A84D92">
        <w:trPr>
          <w:trHeight w:val="416"/>
        </w:trPr>
        <w:tc>
          <w:tcPr>
            <w:tcW w:w="2417" w:type="dxa"/>
            <w:shd w:val="clear" w:color="auto" w:fill="D9D9D9"/>
          </w:tcPr>
          <w:p w14:paraId="07DBE07D"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Форма підсумкового контролю</w:t>
            </w:r>
          </w:p>
        </w:tc>
        <w:tc>
          <w:tcPr>
            <w:tcW w:w="7938" w:type="dxa"/>
          </w:tcPr>
          <w:p w14:paraId="193FD7CF" w14:textId="77777777" w:rsidR="00E17E3B" w:rsidRPr="005C07DD" w:rsidRDefault="00A84D92">
            <w:pPr>
              <w:pBdr>
                <w:top w:val="nil"/>
                <w:left w:val="nil"/>
                <w:bottom w:val="nil"/>
                <w:right w:val="nil"/>
                <w:between w:val="nil"/>
              </w:pBdr>
              <w:ind w:hanging="2"/>
              <w:rPr>
                <w:rFonts w:ascii="Times New Roman" w:eastAsia="Times New Roman" w:hAnsi="Times New Roman" w:cs="Times New Roman"/>
                <w:sz w:val="24"/>
                <w:szCs w:val="24"/>
              </w:rPr>
            </w:pPr>
            <w:r w:rsidRPr="005C07DD">
              <w:rPr>
                <w:rFonts w:ascii="Times New Roman" w:eastAsia="Times New Roman" w:hAnsi="Times New Roman" w:cs="Times New Roman"/>
                <w:sz w:val="24"/>
                <w:szCs w:val="24"/>
              </w:rPr>
              <w:t>Залік / диференційований залік</w:t>
            </w:r>
          </w:p>
        </w:tc>
      </w:tr>
      <w:tr w:rsidR="00E17E3B" w14:paraId="67758153" w14:textId="77777777" w:rsidTr="00A84D92">
        <w:trPr>
          <w:trHeight w:val="907"/>
        </w:trPr>
        <w:tc>
          <w:tcPr>
            <w:tcW w:w="2417" w:type="dxa"/>
            <w:shd w:val="clear" w:color="auto" w:fill="D9D9D9"/>
          </w:tcPr>
          <w:p w14:paraId="5535E96A"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938" w:type="dxa"/>
          </w:tcPr>
          <w:p w14:paraId="1048714F" w14:textId="77777777" w:rsidR="00F1453A"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Тема 1.Методи забезпечення автотехнічної експертизи КТЗ. </w:t>
            </w:r>
          </w:p>
          <w:p w14:paraId="462FA975" w14:textId="77777777" w:rsidR="00F1453A"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Тема 2. Питання експертного дослідження КТЗ. </w:t>
            </w:r>
          </w:p>
          <w:p w14:paraId="2D84CB77" w14:textId="77777777" w:rsidR="00F1453A"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Тема 3. Мета і задачі автотехнічної експертизи. </w:t>
            </w:r>
          </w:p>
          <w:p w14:paraId="5A7E6587" w14:textId="77777777" w:rsidR="00F1453A"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z w:val="24"/>
                <w:szCs w:val="24"/>
                <w:lang w:val="ru-RU"/>
              </w:rPr>
              <w:t>Тема 4. Методи забезпечення автотехнічної експертизи КТЗ.</w:t>
            </w:r>
          </w:p>
          <w:p w14:paraId="3E09C8F4" w14:textId="77777777" w:rsidR="000F14F1"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Тема 5. Порядок та правила проведення державної сертифікації КТЗ. </w:t>
            </w:r>
          </w:p>
          <w:p w14:paraId="186F1B79" w14:textId="77777777" w:rsidR="00F1453A"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Тема 6. Міжнародні стандарти у сфері сертифікації КТЗ. </w:t>
            </w:r>
          </w:p>
          <w:p w14:paraId="797DBAD5" w14:textId="77777777" w:rsidR="00E17E3B" w:rsidRPr="005C07DD" w:rsidRDefault="00F1453A" w:rsidP="000F14F1">
            <w:pPr>
              <w:ind w:hanging="2"/>
              <w:jc w:val="both"/>
              <w:rPr>
                <w:rFonts w:ascii="Times New Roman" w:eastAsia="Times New Roman" w:hAnsi="Times New Roman" w:cs="Times New Roman"/>
                <w:sz w:val="24"/>
                <w:szCs w:val="24"/>
              </w:rPr>
            </w:pPr>
            <w:r w:rsidRPr="005C07DD">
              <w:rPr>
                <w:rFonts w:ascii="Times New Roman" w:hAnsi="Times New Roman" w:cs="Times New Roman"/>
                <w:sz w:val="24"/>
                <w:szCs w:val="24"/>
              </w:rPr>
              <w:t>Тема 7. Страхування КТЗ.</w:t>
            </w:r>
          </w:p>
        </w:tc>
      </w:tr>
      <w:tr w:rsidR="00E17E3B" w14:paraId="2E7B9192" w14:textId="77777777" w:rsidTr="00A84D92">
        <w:trPr>
          <w:trHeight w:val="416"/>
        </w:trPr>
        <w:tc>
          <w:tcPr>
            <w:tcW w:w="2417" w:type="dxa"/>
            <w:shd w:val="clear" w:color="auto" w:fill="D9D9D9"/>
          </w:tcPr>
          <w:p w14:paraId="21EF4869"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Рекомендована </w:t>
            </w:r>
          </w:p>
          <w:p w14:paraId="73B9B643"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938" w:type="dxa"/>
          </w:tcPr>
          <w:p w14:paraId="36922B8A" w14:textId="77777777" w:rsidR="00E17E3B" w:rsidRPr="005C07DD" w:rsidRDefault="00A84D92">
            <w:pPr>
              <w:pBdr>
                <w:top w:val="nil"/>
                <w:left w:val="nil"/>
                <w:bottom w:val="nil"/>
                <w:right w:val="nil"/>
                <w:between w:val="nil"/>
              </w:pBdr>
              <w:tabs>
                <w:tab w:val="left" w:pos="508"/>
              </w:tabs>
              <w:ind w:right="114" w:hanging="2"/>
              <w:rPr>
                <w:rFonts w:ascii="Times New Roman" w:eastAsia="Times New Roman" w:hAnsi="Times New Roman" w:cs="Times New Roman"/>
                <w:sz w:val="24"/>
                <w:szCs w:val="24"/>
              </w:rPr>
            </w:pPr>
            <w:r w:rsidRPr="005C07DD">
              <w:rPr>
                <w:rFonts w:ascii="Times New Roman" w:eastAsia="Times New Roman" w:hAnsi="Times New Roman" w:cs="Times New Roman"/>
                <w:b/>
                <w:sz w:val="24"/>
                <w:szCs w:val="24"/>
              </w:rPr>
              <w:t>Основна</w:t>
            </w:r>
          </w:p>
          <w:p w14:paraId="209D2912" w14:textId="77777777" w:rsidR="00F1453A" w:rsidRPr="00F130F6" w:rsidRDefault="00F1453A" w:rsidP="00F1453A">
            <w:pPr>
              <w:shd w:val="clear" w:color="auto" w:fill="FFFFFF"/>
              <w:tabs>
                <w:tab w:val="left" w:pos="0"/>
                <w:tab w:val="left" w:pos="365"/>
              </w:tabs>
              <w:ind w:hanging="2"/>
              <w:contextualSpacing/>
              <w:rPr>
                <w:rFonts w:ascii="Times New Roman" w:hAnsi="Times New Roman" w:cs="Times New Roman"/>
                <w:sz w:val="24"/>
                <w:szCs w:val="24"/>
                <w:lang w:val="ru-RU"/>
              </w:rPr>
            </w:pPr>
            <w:r w:rsidRPr="005C07DD">
              <w:rPr>
                <w:rFonts w:ascii="Times New Roman" w:hAnsi="Times New Roman" w:cs="Times New Roman"/>
                <w:sz w:val="24"/>
                <w:szCs w:val="24"/>
              </w:rPr>
              <w:t xml:space="preserve">1. .Шаповал М.І. Основи стандартизації, управління якістю і сертифікації: Підручник. – К.: Вид-во </w:t>
            </w:r>
            <w:proofErr w:type="spellStart"/>
            <w:r w:rsidRPr="005C07DD">
              <w:rPr>
                <w:rFonts w:ascii="Times New Roman" w:hAnsi="Times New Roman" w:cs="Times New Roman"/>
                <w:sz w:val="24"/>
                <w:szCs w:val="24"/>
              </w:rPr>
              <w:t>Європ</w:t>
            </w:r>
            <w:proofErr w:type="spellEnd"/>
            <w:r w:rsidRPr="005C07DD">
              <w:rPr>
                <w:rFonts w:ascii="Times New Roman" w:hAnsi="Times New Roman" w:cs="Times New Roman"/>
                <w:sz w:val="24"/>
                <w:szCs w:val="24"/>
              </w:rPr>
              <w:t xml:space="preserve">. ун-ту, 2001. – 174 с. 2. </w:t>
            </w:r>
            <w:proofErr w:type="spellStart"/>
            <w:r w:rsidRPr="005C07DD">
              <w:rPr>
                <w:rFonts w:ascii="Times New Roman" w:hAnsi="Times New Roman" w:cs="Times New Roman"/>
                <w:sz w:val="24"/>
                <w:szCs w:val="24"/>
              </w:rPr>
              <w:t>Л.І.Боженко</w:t>
            </w:r>
            <w:proofErr w:type="spellEnd"/>
            <w:r w:rsidRPr="005C07DD">
              <w:rPr>
                <w:rFonts w:ascii="Times New Roman" w:hAnsi="Times New Roman" w:cs="Times New Roman"/>
                <w:sz w:val="24"/>
                <w:szCs w:val="24"/>
              </w:rPr>
              <w:t xml:space="preserve">, О.Й. </w:t>
            </w:r>
            <w:proofErr w:type="spellStart"/>
            <w:r w:rsidRPr="005C07DD">
              <w:rPr>
                <w:rFonts w:ascii="Times New Roman" w:hAnsi="Times New Roman" w:cs="Times New Roman"/>
                <w:sz w:val="24"/>
                <w:szCs w:val="24"/>
              </w:rPr>
              <w:t>Гутта</w:t>
            </w:r>
            <w:proofErr w:type="spellEnd"/>
            <w:r w:rsidRPr="005C07DD">
              <w:rPr>
                <w:rFonts w:ascii="Times New Roman" w:hAnsi="Times New Roman" w:cs="Times New Roman"/>
                <w:sz w:val="24"/>
                <w:szCs w:val="24"/>
              </w:rPr>
              <w:t xml:space="preserve">. Управління якістю, основи стандартизації та сертифікації продукції. </w:t>
            </w:r>
            <w:r w:rsidRPr="00F130F6">
              <w:rPr>
                <w:rFonts w:ascii="Times New Roman" w:hAnsi="Times New Roman" w:cs="Times New Roman"/>
                <w:sz w:val="24"/>
                <w:szCs w:val="24"/>
                <w:lang w:val="ru-RU"/>
              </w:rPr>
              <w:t>Навчальний посібник. –Львів, 2001. –176с.</w:t>
            </w:r>
          </w:p>
          <w:p w14:paraId="483D6C82" w14:textId="77777777" w:rsidR="00F1453A" w:rsidRPr="00F130F6" w:rsidRDefault="00F1453A" w:rsidP="00F1453A">
            <w:pPr>
              <w:shd w:val="clear" w:color="auto" w:fill="FFFFFF"/>
              <w:tabs>
                <w:tab w:val="left" w:pos="0"/>
                <w:tab w:val="left" w:pos="365"/>
              </w:tabs>
              <w:ind w:hanging="2"/>
              <w:contextualSpacing/>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 3. Фомичев С.К. и др. Основы управления качеством. – К.: МАУП, 2000. – 196 с.</w:t>
            </w:r>
          </w:p>
          <w:p w14:paraId="77789050" w14:textId="77777777" w:rsidR="00F1453A" w:rsidRPr="00F130F6" w:rsidRDefault="00F1453A" w:rsidP="00F1453A">
            <w:pPr>
              <w:shd w:val="clear" w:color="auto" w:fill="FFFFFF"/>
              <w:tabs>
                <w:tab w:val="left" w:pos="0"/>
                <w:tab w:val="left" w:pos="365"/>
              </w:tabs>
              <w:ind w:hanging="2"/>
              <w:contextualSpacing/>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 4. Сертифікація в Україні. Нормативні акти та інші документи. – Т. 1. – Киів, 1998, 368 с.</w:t>
            </w:r>
          </w:p>
          <w:p w14:paraId="67454C24" w14:textId="77777777" w:rsidR="00F1453A" w:rsidRPr="00F130F6" w:rsidRDefault="00F1453A" w:rsidP="00F1453A">
            <w:pPr>
              <w:shd w:val="clear" w:color="auto" w:fill="FFFFFF"/>
              <w:tabs>
                <w:tab w:val="left" w:pos="0"/>
                <w:tab w:val="left" w:pos="365"/>
              </w:tabs>
              <w:ind w:hanging="2"/>
              <w:contextualSpacing/>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5. Сертифікація в Україні. Нормативні акти та інші документи. – Т. 2. – Киів, 1998, 416 с. </w:t>
            </w:r>
          </w:p>
          <w:p w14:paraId="6886DD50" w14:textId="77777777" w:rsidR="00F1453A" w:rsidRPr="00F130F6" w:rsidRDefault="00F1453A" w:rsidP="00F1453A">
            <w:pPr>
              <w:shd w:val="clear" w:color="auto" w:fill="FFFFFF"/>
              <w:tabs>
                <w:tab w:val="left" w:pos="0"/>
                <w:tab w:val="left" w:pos="365"/>
              </w:tabs>
              <w:ind w:hanging="2"/>
              <w:contextualSpacing/>
              <w:rPr>
                <w:rFonts w:ascii="Times New Roman" w:hAnsi="Times New Roman" w:cs="Times New Roman"/>
                <w:sz w:val="24"/>
                <w:szCs w:val="24"/>
                <w:lang w:val="ru-RU"/>
              </w:rPr>
            </w:pPr>
            <w:r w:rsidRPr="00F130F6">
              <w:rPr>
                <w:rFonts w:ascii="Times New Roman" w:hAnsi="Times New Roman" w:cs="Times New Roman"/>
                <w:sz w:val="24"/>
                <w:szCs w:val="24"/>
                <w:lang w:val="ru-RU"/>
              </w:rPr>
              <w:t>6. Сертифікація послуг автомобільного транспорту. Нормативні документи: Довідник. Львів: НІЦ “Леонорм”, 1999. – 294 с.</w:t>
            </w:r>
          </w:p>
          <w:p w14:paraId="18E536E8" w14:textId="77777777" w:rsidR="00F1453A" w:rsidRPr="00F130F6" w:rsidRDefault="00F1453A" w:rsidP="00F1453A">
            <w:pPr>
              <w:shd w:val="clear" w:color="auto" w:fill="FFFFFF"/>
              <w:tabs>
                <w:tab w:val="left" w:pos="0"/>
                <w:tab w:val="left" w:pos="365"/>
              </w:tabs>
              <w:ind w:hanging="2"/>
              <w:contextualSpacing/>
              <w:rPr>
                <w:rFonts w:ascii="Times New Roman" w:hAnsi="Times New Roman" w:cs="Times New Roman"/>
                <w:sz w:val="24"/>
                <w:szCs w:val="24"/>
                <w:lang w:val="ru-RU"/>
              </w:rPr>
            </w:pPr>
            <w:r w:rsidRPr="00F130F6">
              <w:rPr>
                <w:rFonts w:ascii="Times New Roman" w:hAnsi="Times New Roman" w:cs="Times New Roman"/>
                <w:sz w:val="24"/>
                <w:szCs w:val="24"/>
                <w:lang w:val="ru-RU"/>
              </w:rPr>
              <w:t xml:space="preserve">7. Транспортне право України. Демський </w:t>
            </w:r>
            <w:r w:rsidR="00742CA4" w:rsidRPr="00F130F6">
              <w:rPr>
                <w:rFonts w:ascii="Times New Roman" w:hAnsi="Times New Roman" w:cs="Times New Roman"/>
                <w:sz w:val="24"/>
                <w:szCs w:val="24"/>
                <w:lang w:val="ru-RU"/>
              </w:rPr>
              <w:t>та ін.</w:t>
            </w:r>
            <w:r w:rsidRPr="00F130F6">
              <w:rPr>
                <w:rFonts w:ascii="Times New Roman" w:hAnsi="Times New Roman" w:cs="Times New Roman"/>
                <w:sz w:val="24"/>
                <w:szCs w:val="24"/>
                <w:lang w:val="ru-RU"/>
              </w:rPr>
              <w:t xml:space="preserve"> – К.: Юрінком Інтер, 2002. – 416 с. </w:t>
            </w:r>
          </w:p>
          <w:p w14:paraId="2C782AE3" w14:textId="77777777" w:rsidR="00E17E3B" w:rsidRPr="005C07DD" w:rsidRDefault="00A84D92" w:rsidP="00F1453A">
            <w:pPr>
              <w:pBdr>
                <w:top w:val="nil"/>
                <w:left w:val="nil"/>
                <w:bottom w:val="nil"/>
                <w:right w:val="nil"/>
                <w:between w:val="nil"/>
              </w:pBdr>
              <w:tabs>
                <w:tab w:val="left" w:pos="366"/>
                <w:tab w:val="left" w:pos="576"/>
              </w:tabs>
              <w:ind w:right="114" w:hanging="2"/>
              <w:jc w:val="both"/>
              <w:rPr>
                <w:rFonts w:ascii="Times New Roman" w:eastAsia="Times New Roman" w:hAnsi="Times New Roman" w:cs="Times New Roman"/>
                <w:sz w:val="24"/>
                <w:szCs w:val="24"/>
              </w:rPr>
            </w:pPr>
            <w:r w:rsidRPr="005C07DD">
              <w:rPr>
                <w:rFonts w:ascii="Times New Roman" w:eastAsia="Times New Roman" w:hAnsi="Times New Roman" w:cs="Times New Roman"/>
                <w:b/>
                <w:sz w:val="24"/>
                <w:szCs w:val="24"/>
              </w:rPr>
              <w:t>Додаткова</w:t>
            </w:r>
          </w:p>
          <w:p w14:paraId="191220AE" w14:textId="77777777" w:rsidR="00F1453A" w:rsidRPr="00F130F6" w:rsidRDefault="00F1453A" w:rsidP="00F1453A">
            <w:pPr>
              <w:pStyle w:val="aa"/>
              <w:numPr>
                <w:ilvl w:val="0"/>
                <w:numId w:val="2"/>
              </w:numPr>
              <w:pBdr>
                <w:top w:val="nil"/>
                <w:left w:val="nil"/>
                <w:bottom w:val="nil"/>
                <w:right w:val="nil"/>
                <w:between w:val="nil"/>
              </w:pBdr>
              <w:tabs>
                <w:tab w:val="left" w:pos="366"/>
                <w:tab w:val="left" w:pos="576"/>
              </w:tabs>
              <w:ind w:left="0" w:right="114" w:hanging="2"/>
              <w:jc w:val="both"/>
              <w:rPr>
                <w:rFonts w:ascii="Times New Roman" w:hAnsi="Times New Roman" w:cs="Times New Roman"/>
                <w:bCs/>
                <w:sz w:val="24"/>
                <w:szCs w:val="24"/>
                <w:lang w:val="ru-RU"/>
              </w:rPr>
            </w:pPr>
            <w:r w:rsidRPr="00F130F6">
              <w:rPr>
                <w:rFonts w:ascii="Times New Roman" w:hAnsi="Times New Roman" w:cs="Times New Roman"/>
                <w:sz w:val="24"/>
                <w:szCs w:val="24"/>
                <w:lang w:val="ru-RU"/>
              </w:rPr>
              <w:t xml:space="preserve">Кищун В.А. </w:t>
            </w:r>
            <w:r w:rsidRPr="00F130F6">
              <w:rPr>
                <w:rFonts w:ascii="Times New Roman" w:hAnsi="Times New Roman" w:cs="Times New Roman"/>
                <w:bCs/>
                <w:sz w:val="24"/>
                <w:szCs w:val="24"/>
                <w:lang w:val="ru-RU"/>
              </w:rPr>
              <w:t>Інфраструктура та ринок дорожніх транспортних засобів (ДТЗ). Конспект лекцій для студентів спеціальності “Автомобілі та автомобільне господарство” усіх форм навчання. – Луцьк: РВВ ЛНТУ, 2008. – 187 с</w:t>
            </w:r>
          </w:p>
          <w:p w14:paraId="677C815C" w14:textId="77777777" w:rsidR="00E17E3B" w:rsidRPr="00F130F6" w:rsidRDefault="00E17E3B" w:rsidP="005C07DD">
            <w:pPr>
              <w:pBdr>
                <w:top w:val="nil"/>
                <w:left w:val="nil"/>
                <w:bottom w:val="nil"/>
                <w:right w:val="nil"/>
                <w:between w:val="nil"/>
              </w:pBdr>
              <w:tabs>
                <w:tab w:val="left" w:pos="366"/>
                <w:tab w:val="left" w:pos="576"/>
                <w:tab w:val="left" w:pos="1134"/>
              </w:tabs>
              <w:ind w:hanging="2"/>
              <w:jc w:val="both"/>
              <w:rPr>
                <w:rFonts w:ascii="Times New Roman" w:eastAsia="Times New Roman" w:hAnsi="Times New Roman" w:cs="Times New Roman"/>
                <w:sz w:val="24"/>
                <w:szCs w:val="24"/>
                <w:lang w:val="ru-RU"/>
              </w:rPr>
            </w:pPr>
          </w:p>
        </w:tc>
      </w:tr>
      <w:tr w:rsidR="00E17E3B" w14:paraId="1CB3466C" w14:textId="77777777" w:rsidTr="00A84D92">
        <w:trPr>
          <w:trHeight w:val="907"/>
        </w:trPr>
        <w:tc>
          <w:tcPr>
            <w:tcW w:w="2417" w:type="dxa"/>
            <w:shd w:val="clear" w:color="auto" w:fill="D9D9D9"/>
          </w:tcPr>
          <w:p w14:paraId="558C5E23" w14:textId="77777777" w:rsidR="00E17E3B" w:rsidRPr="00F130F6" w:rsidRDefault="00A84D92">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F130F6">
              <w:rPr>
                <w:rFonts w:ascii="Times New Roman" w:eastAsia="Times New Roman" w:hAnsi="Times New Roman" w:cs="Times New Roman"/>
                <w:b/>
                <w:color w:val="000000"/>
                <w:sz w:val="24"/>
                <w:szCs w:val="24"/>
                <w:lang w:val="ru-RU"/>
              </w:rPr>
              <w:t>Види занять, методи  і форми навчання</w:t>
            </w:r>
          </w:p>
        </w:tc>
        <w:tc>
          <w:tcPr>
            <w:tcW w:w="7938" w:type="dxa"/>
          </w:tcPr>
          <w:p w14:paraId="0504453A" w14:textId="77777777" w:rsidR="0041141B" w:rsidRPr="00F130F6" w:rsidRDefault="00A84D92" w:rsidP="0041141B">
            <w:pPr>
              <w:ind w:hanging="2"/>
              <w:jc w:val="both"/>
              <w:rPr>
                <w:rFonts w:ascii="Times New Roman" w:hAnsi="Times New Roman" w:cs="Times New Roman"/>
                <w:spacing w:val="-4"/>
                <w:sz w:val="24"/>
                <w:szCs w:val="24"/>
                <w:lang w:val="ru-RU"/>
              </w:rPr>
            </w:pPr>
            <w:r w:rsidRPr="00F130F6">
              <w:rPr>
                <w:rFonts w:ascii="Times New Roman" w:eastAsia="Times New Roman" w:hAnsi="Times New Roman" w:cs="Times New Roman"/>
                <w:sz w:val="24"/>
                <w:szCs w:val="24"/>
                <w:lang w:val="ru-RU"/>
              </w:rPr>
              <w:t xml:space="preserve">Форми організації освітнього процесу: </w:t>
            </w:r>
            <w:r w:rsidR="0041141B" w:rsidRPr="00F130F6">
              <w:rPr>
                <w:rFonts w:ascii="Times New Roman" w:hAnsi="Times New Roman" w:cs="Times New Roman"/>
                <w:spacing w:val="-6"/>
                <w:sz w:val="24"/>
                <w:szCs w:val="24"/>
                <w:lang w:val="ru-RU"/>
              </w:rPr>
              <w:t xml:space="preserve">Робота на лекціях; усне опитування; тестування; навчальна дискусія; виконання завдань, винесених на самостійне вивчення; участь у </w:t>
            </w:r>
            <w:r w:rsidR="0041141B" w:rsidRPr="00F130F6">
              <w:rPr>
                <w:rFonts w:ascii="Times New Roman" w:hAnsi="Times New Roman" w:cs="Times New Roman"/>
                <w:sz w:val="24"/>
                <w:szCs w:val="24"/>
                <w:lang w:val="ru-RU"/>
              </w:rPr>
              <w:t>наукових конференціях, підготовка наукових публікацій, участь у конкурсах студентських</w:t>
            </w:r>
            <w:r w:rsidR="0041141B" w:rsidRPr="00F130F6">
              <w:rPr>
                <w:rFonts w:ascii="Times New Roman" w:hAnsi="Times New Roman" w:cs="Times New Roman"/>
                <w:spacing w:val="-4"/>
                <w:sz w:val="24"/>
                <w:szCs w:val="24"/>
                <w:lang w:val="ru-RU"/>
              </w:rPr>
              <w:t xml:space="preserve"> наукових робіт, залік тощо.</w:t>
            </w:r>
          </w:p>
          <w:p w14:paraId="0FE073C0" w14:textId="77777777" w:rsidR="00E17E3B" w:rsidRPr="00F130F6" w:rsidRDefault="00E17E3B">
            <w:pPr>
              <w:pBdr>
                <w:top w:val="nil"/>
                <w:left w:val="nil"/>
                <w:bottom w:val="nil"/>
                <w:right w:val="nil"/>
                <w:between w:val="nil"/>
              </w:pBdr>
              <w:ind w:hanging="2"/>
              <w:jc w:val="both"/>
              <w:rPr>
                <w:rFonts w:ascii="Times New Roman" w:eastAsia="Times New Roman" w:hAnsi="Times New Roman" w:cs="Times New Roman"/>
                <w:sz w:val="24"/>
                <w:szCs w:val="24"/>
                <w:lang w:val="ru-RU"/>
              </w:rPr>
            </w:pPr>
          </w:p>
          <w:p w14:paraId="30C550A3" w14:textId="77777777" w:rsidR="00E17E3B" w:rsidRPr="00F130F6" w:rsidRDefault="00A84D92">
            <w:pPr>
              <w:pBdr>
                <w:top w:val="nil"/>
                <w:left w:val="nil"/>
                <w:bottom w:val="nil"/>
                <w:right w:val="nil"/>
                <w:between w:val="nil"/>
              </w:pBdr>
              <w:ind w:hanging="2"/>
              <w:jc w:val="both"/>
              <w:rPr>
                <w:rFonts w:ascii="Times New Roman" w:eastAsia="Times New Roman" w:hAnsi="Times New Roman" w:cs="Times New Roman"/>
                <w:sz w:val="24"/>
                <w:szCs w:val="24"/>
                <w:lang w:val="ru-RU"/>
              </w:rPr>
            </w:pPr>
            <w:r w:rsidRPr="00F130F6">
              <w:rPr>
                <w:rFonts w:ascii="Times New Roman" w:eastAsia="Times New Roman" w:hAnsi="Times New Roman" w:cs="Times New Roman"/>
                <w:sz w:val="24"/>
                <w:szCs w:val="24"/>
                <w:lang w:val="ru-RU"/>
              </w:rPr>
              <w:t>Освітні технології: традиційні, інтерактивні, інформаційно-комунікативні, проектного навчання.</w:t>
            </w:r>
          </w:p>
        </w:tc>
      </w:tr>
      <w:tr w:rsidR="00E17E3B" w14:paraId="300A3F36" w14:textId="77777777" w:rsidTr="00A84D92">
        <w:trPr>
          <w:trHeight w:val="517"/>
        </w:trPr>
        <w:tc>
          <w:tcPr>
            <w:tcW w:w="2417" w:type="dxa"/>
            <w:shd w:val="clear" w:color="auto" w:fill="D9D9D9"/>
          </w:tcPr>
          <w:p w14:paraId="24A16278" w14:textId="77777777" w:rsidR="00E17E3B" w:rsidRDefault="00A84D92">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r w:rsidR="00F1453A">
              <w:rPr>
                <w:rFonts w:ascii="Times New Roman" w:eastAsia="Times New Roman" w:hAnsi="Times New Roman" w:cs="Times New Roman"/>
                <w:b/>
                <w:color w:val="000000"/>
                <w:sz w:val="24"/>
                <w:szCs w:val="24"/>
              </w:rPr>
              <w:t xml:space="preserve"> та </w:t>
            </w:r>
            <w:proofErr w:type="spellStart"/>
            <w:r w:rsidR="00F1453A">
              <w:rPr>
                <w:rFonts w:ascii="Times New Roman" w:eastAsia="Times New Roman" w:hAnsi="Times New Roman" w:cs="Times New Roman"/>
                <w:b/>
                <w:color w:val="000000"/>
                <w:sz w:val="24"/>
                <w:szCs w:val="24"/>
              </w:rPr>
              <w:t>Постреквізити</w:t>
            </w:r>
            <w:proofErr w:type="spellEnd"/>
          </w:p>
        </w:tc>
        <w:tc>
          <w:tcPr>
            <w:tcW w:w="7938" w:type="dxa"/>
          </w:tcPr>
          <w:p w14:paraId="5E4B6923" w14:textId="77777777" w:rsidR="00F1453A" w:rsidRPr="00F130F6" w:rsidRDefault="00F1453A" w:rsidP="00F1453A">
            <w:pPr>
              <w:ind w:hanging="2"/>
              <w:jc w:val="both"/>
              <w:rPr>
                <w:rFonts w:ascii="Times New Roman" w:hAnsi="Times New Roman" w:cs="Times New Roman"/>
                <w:sz w:val="24"/>
                <w:szCs w:val="24"/>
                <w:lang w:val="ru-RU"/>
              </w:rPr>
            </w:pPr>
            <w:r w:rsidRPr="00F130F6">
              <w:rPr>
                <w:rFonts w:ascii="Times New Roman" w:hAnsi="Times New Roman" w:cs="Times New Roman"/>
                <w:spacing w:val="-6"/>
                <w:sz w:val="24"/>
                <w:szCs w:val="24"/>
                <w:lang w:val="ru-RU"/>
              </w:rPr>
              <w:t>Базові знання в сфері автомобільного транспорту</w:t>
            </w:r>
            <w:r w:rsidRPr="00F130F6">
              <w:rPr>
                <w:rFonts w:ascii="Times New Roman" w:hAnsi="Times New Roman" w:cs="Times New Roman"/>
                <w:sz w:val="24"/>
                <w:szCs w:val="24"/>
                <w:lang w:val="ru-RU"/>
              </w:rPr>
              <w:t>.</w:t>
            </w:r>
          </w:p>
          <w:p w14:paraId="0E0D51DD" w14:textId="77777777" w:rsidR="00E17E3B" w:rsidRPr="00F130F6" w:rsidRDefault="00E17E3B">
            <w:pPr>
              <w:pBdr>
                <w:top w:val="nil"/>
                <w:left w:val="nil"/>
                <w:bottom w:val="nil"/>
                <w:right w:val="nil"/>
                <w:between w:val="nil"/>
              </w:pBdr>
              <w:ind w:hanging="2"/>
              <w:rPr>
                <w:rFonts w:ascii="Times New Roman" w:eastAsia="Times New Roman" w:hAnsi="Times New Roman" w:cs="Times New Roman"/>
                <w:sz w:val="24"/>
                <w:szCs w:val="24"/>
                <w:lang w:val="ru-RU"/>
              </w:rPr>
            </w:pPr>
          </w:p>
        </w:tc>
      </w:tr>
      <w:tr w:rsidR="00E17E3B" w14:paraId="5E6637DA" w14:textId="77777777" w:rsidTr="00A84D92">
        <w:trPr>
          <w:trHeight w:val="907"/>
        </w:trPr>
        <w:tc>
          <w:tcPr>
            <w:tcW w:w="2417" w:type="dxa"/>
            <w:shd w:val="clear" w:color="auto" w:fill="D9D9D9"/>
          </w:tcPr>
          <w:p w14:paraId="1427CFBD"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938" w:type="dxa"/>
          </w:tcPr>
          <w:p w14:paraId="56594652" w14:textId="77777777" w:rsidR="00E17E3B" w:rsidRDefault="00A84D92">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39EBAEA0" w14:textId="77777777" w:rsidR="00E17E3B" w:rsidRDefault="00A84D92">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21970D1D" w14:textId="77777777" w:rsidR="00E17E3B" w:rsidRDefault="00E17E3B">
            <w:pPr>
              <w:pBdr>
                <w:top w:val="nil"/>
                <w:left w:val="nil"/>
                <w:bottom w:val="nil"/>
                <w:right w:val="nil"/>
                <w:between w:val="nil"/>
              </w:pBdr>
              <w:ind w:hanging="2"/>
              <w:rPr>
                <w:rFonts w:ascii="Times New Roman" w:eastAsia="Times New Roman" w:hAnsi="Times New Roman" w:cs="Times New Roman"/>
                <w:color w:val="000000"/>
                <w:sz w:val="24"/>
                <w:szCs w:val="24"/>
              </w:rPr>
            </w:pPr>
          </w:p>
          <w:p w14:paraId="3ADED4F9" w14:textId="77777777" w:rsidR="00E17E3B" w:rsidRDefault="00A84D92">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xml:space="preserve">»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w:t>
            </w:r>
            <w:r>
              <w:rPr>
                <w:rFonts w:ascii="Times New Roman" w:eastAsia="Times New Roman" w:hAnsi="Times New Roman" w:cs="Times New Roman"/>
                <w:color w:val="000000"/>
                <w:sz w:val="24"/>
                <w:szCs w:val="24"/>
              </w:rPr>
              <w:lastRenderedPageBreak/>
              <w:t>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119D1A38" w14:textId="77777777" w:rsidR="00E17E3B" w:rsidRDefault="00E17E3B">
            <w:pPr>
              <w:pBdr>
                <w:top w:val="nil"/>
                <w:left w:val="nil"/>
                <w:bottom w:val="nil"/>
                <w:right w:val="nil"/>
                <w:between w:val="nil"/>
              </w:pBdr>
              <w:ind w:hanging="2"/>
              <w:rPr>
                <w:rFonts w:ascii="Times New Roman" w:eastAsia="Times New Roman" w:hAnsi="Times New Roman" w:cs="Times New Roman"/>
                <w:color w:val="000000"/>
                <w:sz w:val="23"/>
                <w:szCs w:val="23"/>
              </w:rPr>
            </w:pPr>
          </w:p>
          <w:p w14:paraId="53038DF1" w14:textId="77777777" w:rsidR="00E17E3B" w:rsidRDefault="00A84D92">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4A6927D9" w14:textId="77777777" w:rsidR="00E17E3B" w:rsidRDefault="00E17E3B">
            <w:pPr>
              <w:pBdr>
                <w:top w:val="nil"/>
                <w:left w:val="nil"/>
                <w:bottom w:val="nil"/>
                <w:right w:val="nil"/>
                <w:between w:val="nil"/>
              </w:pBdr>
              <w:ind w:hanging="2"/>
              <w:rPr>
                <w:rFonts w:ascii="Times New Roman" w:eastAsia="Times New Roman" w:hAnsi="Times New Roman" w:cs="Times New Roman"/>
                <w:color w:val="000000"/>
                <w:sz w:val="24"/>
                <w:szCs w:val="24"/>
              </w:rPr>
            </w:pPr>
          </w:p>
          <w:p w14:paraId="3F2A8CBE" w14:textId="77777777" w:rsidR="00E17E3B" w:rsidRDefault="00A84D92">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E17E3B" w14:paraId="33850060" w14:textId="77777777" w:rsidTr="00A84D92">
        <w:trPr>
          <w:trHeight w:val="272"/>
        </w:trPr>
        <w:tc>
          <w:tcPr>
            <w:tcW w:w="2417" w:type="dxa"/>
            <w:shd w:val="clear" w:color="auto" w:fill="D9D9D9"/>
          </w:tcPr>
          <w:p w14:paraId="12799671" w14:textId="77777777" w:rsidR="00E17E3B" w:rsidRDefault="00A84D92">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938" w:type="dxa"/>
          </w:tcPr>
          <w:p w14:paraId="5D8D2445" w14:textId="77777777" w:rsidR="00E17E3B" w:rsidRPr="00F130F6" w:rsidRDefault="00A84D92">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F130F6">
              <w:rPr>
                <w:rFonts w:ascii="Times New Roman" w:eastAsia="Times New Roman" w:hAnsi="Times New Roman" w:cs="Times New Roman"/>
                <w:color w:val="000000"/>
                <w:sz w:val="24"/>
                <w:szCs w:val="24"/>
                <w:lang w:val="ru-RU"/>
              </w:rPr>
              <w:t>Курс передбачає індивідуальну та групову роботу.</w:t>
            </w:r>
          </w:p>
          <w:p w14:paraId="0AB56641" w14:textId="77777777" w:rsidR="00E17E3B" w:rsidRPr="00F130F6" w:rsidRDefault="00A84D92">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F130F6">
              <w:rPr>
                <w:rFonts w:ascii="Times New Roman" w:eastAsia="Times New Roman" w:hAnsi="Times New Roman" w:cs="Times New Roman"/>
                <w:color w:val="000000"/>
                <w:sz w:val="24"/>
                <w:szCs w:val="24"/>
                <w:lang w:val="ru-RU"/>
              </w:rPr>
              <w:t>Усі завдання, передбачені програмою, мають бути виконані у встановлений термін.</w:t>
            </w:r>
          </w:p>
          <w:p w14:paraId="6C207067" w14:textId="77777777" w:rsidR="00E17E3B" w:rsidRPr="00F130F6" w:rsidRDefault="00A84D92">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r w:rsidRPr="00F130F6">
              <w:rPr>
                <w:rFonts w:ascii="Times New Roman" w:eastAsia="Times New Roman" w:hAnsi="Times New Roman" w:cs="Times New Roman"/>
                <w:color w:val="000000"/>
                <w:sz w:val="24"/>
                <w:szCs w:val="24"/>
                <w:lang w:val="ru-RU"/>
              </w:rPr>
              <w:t>Якщо здобувач освіти відсутній з поважної причини, він/вона презентує виконані завдання під час консультації викладача.</w:t>
            </w:r>
            <w:r w:rsidRPr="00F130F6">
              <w:rPr>
                <w:rFonts w:ascii="Times New Roman" w:eastAsia="Times New Roman" w:hAnsi="Times New Roman" w:cs="Times New Roman"/>
                <w:color w:val="000000"/>
                <w:sz w:val="24"/>
                <w:szCs w:val="24"/>
                <w:lang w:val="ru-RU"/>
              </w:rPr>
              <w:br/>
              <w:t>Під час роботи над індивідуальними завданнями та проектами не допустимо порушення академічної доброчесності.</w:t>
            </w:r>
          </w:p>
        </w:tc>
      </w:tr>
    </w:tbl>
    <w:p w14:paraId="106C3E84" w14:textId="77777777" w:rsidR="00E17E3B" w:rsidRDefault="00A84D92">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E17E3B" w:rsidSect="00A84D92">
      <w:pgSz w:w="11900" w:h="16850"/>
      <w:pgMar w:top="720" w:right="720" w:bottom="720" w:left="720"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20ACD"/>
    <w:multiLevelType w:val="multilevel"/>
    <w:tmpl w:val="F20EC5A6"/>
    <w:lvl w:ilvl="0">
      <w:start w:val="1"/>
      <w:numFmt w:val="decimal"/>
      <w:lvlText w:val="%1."/>
      <w:lvlJc w:val="left"/>
      <w:pPr>
        <w:ind w:left="502" w:hanging="360"/>
      </w:pPr>
      <w:rPr>
        <w:b w:val="0"/>
        <w:sz w:val="24"/>
        <w:szCs w:val="24"/>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AB665C5"/>
    <w:multiLevelType w:val="hybridMultilevel"/>
    <w:tmpl w:val="C47C464A"/>
    <w:lvl w:ilvl="0" w:tplc="E15E7D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3B"/>
    <w:rsid w:val="000F14F1"/>
    <w:rsid w:val="0041141B"/>
    <w:rsid w:val="004B3823"/>
    <w:rsid w:val="005C07DD"/>
    <w:rsid w:val="006D4783"/>
    <w:rsid w:val="00742CA4"/>
    <w:rsid w:val="00A84D92"/>
    <w:rsid w:val="00CA5E3B"/>
    <w:rsid w:val="00E1781D"/>
    <w:rsid w:val="00E17E3B"/>
    <w:rsid w:val="00E77F36"/>
    <w:rsid w:val="00F130F6"/>
    <w:rsid w:val="00F1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B1F5"/>
  <w15:docId w15:val="{9A55EE47-177B-480A-A2B6-E59AAB33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 w:type="table" w:customStyle="1" w:styleId="-211">
    <w:name w:val="Таблица-сетка 2 — акцент 11"/>
    <w:basedOn w:val="a1"/>
    <w:uiPriority w:val="47"/>
    <w:rsid w:val="00E77F36"/>
    <w:rPr>
      <w:rFonts w:ascii="Times New Roman" w:eastAsia="Times New Roman" w:hAnsi="Times New Roman" w:cs="Times New Roman"/>
      <w:lang w:val="ru-R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a">
    <w:name w:val="List Paragraph"/>
    <w:basedOn w:val="a"/>
    <w:uiPriority w:val="34"/>
    <w:qFormat/>
    <w:rsid w:val="00F1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4099</Words>
  <Characters>2337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2023-03-08T06:52:00Z</dcterms:created>
  <dcterms:modified xsi:type="dcterms:W3CDTF">2024-03-11T11:59:00Z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